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6.000000000002" w:type="dxa"/>
        <w:jc w:val="left"/>
        <w:tblInd w:w="-15.0" w:type="dxa"/>
        <w:tblLayout w:type="fixed"/>
        <w:tblLook w:val="0000"/>
      </w:tblPr>
      <w:tblGrid>
        <w:gridCol w:w="2021"/>
        <w:gridCol w:w="1146"/>
        <w:gridCol w:w="1078"/>
        <w:gridCol w:w="266"/>
        <w:gridCol w:w="2001"/>
        <w:gridCol w:w="296"/>
        <w:gridCol w:w="1451"/>
        <w:gridCol w:w="687"/>
        <w:tblGridChange w:id="0">
          <w:tblGrid>
            <w:gridCol w:w="2021"/>
            <w:gridCol w:w="1146"/>
            <w:gridCol w:w="1078"/>
            <w:gridCol w:w="266"/>
            <w:gridCol w:w="2001"/>
            <w:gridCol w:w="296"/>
            <w:gridCol w:w="1451"/>
            <w:gridCol w:w="687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FACULTAD DE ARQUITECTURA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Programa de Asignatura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Carrera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Lic. en Diseño de Videojuegos y Tecnologías Creativas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Plan de Estudios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RESOL-2022-1535-APN-ME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Año Académico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Asignatura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Aspectos legales del desarrollo del videojuego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Código SGA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Cátedra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Carla Repetto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Ubicación en el plan de estudios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d9d9d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Área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Sub-Área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Ciclo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Inicial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Nivel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Primero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Carácter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Obligatoria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Optativa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color w:val="d9d9d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Electiva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color w:val="d9d9d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Régimen de cursado (marque con una cruz)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Tiempo de cursado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Cuatrimestral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color w:val="d9d9d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Semanas de cursado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30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semanas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Periodo Lectivo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1º Cuatrimestre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2º Cuatrimestre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Turno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Mañana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color w:val="d9d9d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Tarde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color w:val="d9d9d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Único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Carga Horaria de Clases Presenciales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Frecuencia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Teoría (hs.)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Práctica (hs.)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Sub-Total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Diaria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Semanal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1º Cuatrimestre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2º Cuatrimestre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Totales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Carga Horaria Fuera de Clase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Diaria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Semanal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Totales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150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Créditos que otorga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2.0" w:type="dxa"/>
        <w:jc w:val="left"/>
        <w:tblInd w:w="-15.0" w:type="dxa"/>
        <w:tblLayout w:type="fixed"/>
        <w:tblLook w:val="0000"/>
      </w:tblPr>
      <w:tblGrid>
        <w:gridCol w:w="9012"/>
        <w:tblGridChange w:id="0">
          <w:tblGrid>
            <w:gridCol w:w="901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FUNDAMENTACIÓN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 un entorno marcado por la globalización, la transformación digital y la constante evolución de los mercados, el desarrollo de productos culturales y creativos —como los videojuegos— requiere no solo de habilidades técnicas y artísticas, sino también de un sólido conocimiento del marco legal que los protege y regula.</w:t>
            </w:r>
          </w:p>
          <w:p w:rsidR="00000000" w:rsidDel="00000000" w:rsidP="00000000" w:rsidRDefault="00000000" w:rsidRPr="00000000" w14:paraId="000000FD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 este contexto, el diseño, la narrativa, la música, el código fuente, los personajes y los entornos interactivos se convierten en activos estratégicos para los estudios desarrolladores. La capacidad de diferenciarse mediante experiencias únicas e innovadoras es clave para lograr una ventaja competitiva sostenible. Sin embargo, esta diferenciación solo puede consolidarse si quienes participan del proceso creativo comprenden y utilizan correctamente las herramientas jurídicas que les permiten proteger sus creaciones.</w:t>
            </w:r>
          </w:p>
          <w:p w:rsidR="00000000" w:rsidDel="00000000" w:rsidP="00000000" w:rsidRDefault="00000000" w:rsidRPr="00000000" w14:paraId="000000FE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globalización de los mercados, la estandarización de tecnologías y la facilidad de acceso a recursos técnicos hacen que los factores tradicionales como el precio y la calidad ya no sean suficientes para competir. En su lugar, el verdadero valor agregado reside en la originalidad y en la protección de esa originalidad mediante los distintos regímenes de propiedad intelectual, como los derechos de autor, las marcas, las patentes de invención y los diseños industriales.</w:t>
            </w:r>
          </w:p>
          <w:p w:rsidR="00000000" w:rsidDel="00000000" w:rsidP="00000000" w:rsidRDefault="00000000" w:rsidRPr="00000000" w14:paraId="000000FF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Por ello, esta asignatura tiene como propósito brindar a los y las estudiantes del campo del desarrollo de videojuegos los conocimientos legales fundamentales para gestionar adecuadamente sus creaciones, negociar contratos, prevenir conflictos, y tomar decisiones estratégicas informadas. Se propone formar profesionales que no solo diseñen productos innovadores, sino que también comprendan cómo resguardar su valor y asegurar su explotación económica, promoviendo así un desarrollo sustentable de la industria.</w:t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2.0" w:type="dxa"/>
        <w:jc w:val="left"/>
        <w:tblInd w:w="-15.0" w:type="dxa"/>
        <w:tblLayout w:type="fixed"/>
        <w:tblLook w:val="0000"/>
      </w:tblPr>
      <w:tblGrid>
        <w:gridCol w:w="8874"/>
        <w:gridCol w:w="72"/>
        <w:gridCol w:w="66"/>
        <w:tblGridChange w:id="0">
          <w:tblGrid>
            <w:gridCol w:w="8874"/>
            <w:gridCol w:w="72"/>
            <w:gridCol w:w="6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OBJETIVOS GENERALES (Según Plan de Estudios)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before="60"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Comprender al diseño como una herramienta generadora de valor, que puede resultar factor diferenciador y de competitividad para pequeñas unidades productivas y autogestionadas.</w:t>
            </w:r>
          </w:p>
          <w:p w:rsidR="00000000" w:rsidDel="00000000" w:rsidP="00000000" w:rsidRDefault="00000000" w:rsidRPr="00000000" w14:paraId="00000105">
            <w:pPr>
              <w:widowControl w:val="0"/>
              <w:spacing w:before="60"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Propiciar un ámbito de reflexión respecto a las implicancias jurídicas, económicas y sociales de las diversas formas de protección de la propiedad intelectual en general y del diseño en particular. </w:t>
            </w:r>
          </w:p>
          <w:p w:rsidR="00000000" w:rsidDel="00000000" w:rsidP="00000000" w:rsidRDefault="00000000" w:rsidRPr="00000000" w14:paraId="00000106">
            <w:pPr>
              <w:widowControl w:val="0"/>
              <w:spacing w:before="60"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Analizar los aspectos relacionados a la intervención estatal en el mercado; las implicancias de las normas internacionales en la práctica nacional y regional.</w:t>
            </w:r>
          </w:p>
          <w:p w:rsidR="00000000" w:rsidDel="00000000" w:rsidP="00000000" w:rsidRDefault="00000000" w:rsidRPr="00000000" w14:paraId="00000107">
            <w:pPr>
              <w:widowControl w:val="0"/>
              <w:spacing w:before="60"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Analizar los desafíos de la protección del diseño en el entorno digital,  las nuevas tecnologías y plataformas digitales de comunicación como medios accesibles y de gran alcance.</w:t>
            </w:r>
          </w:p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OBJETIVOS PARTICULARES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before="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CONTENIDOS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TEMÁTICOS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20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vertAlign w:val="baseline"/>
                <w:rtl w:val="0"/>
              </w:rPr>
              <w:t xml:space="preserve">CONTENIDO POR UNIDADES.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Style w:val="Heading4"/>
              <w:keepNext w:val="0"/>
              <w:keepLines w:val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we7k3vb4x4od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 1: Aspectos jurídicos de la industria del diseño y los videojuegos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videojuego como obra compleja e interdisciplinaria: aspectos creativos, técnicos y legales.</w:t>
              <w:br w:type="textWrapping"/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Marco legal general aplicable a la industria del diseño y videojuegos en Argentina y a nivel internacional.</w:t>
              <w:br w:type="textWrapping"/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Relación entre diseño, innovación y derecho.</w:t>
              <w:br w:type="textWrapping"/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Sujetos intervinientes en el proceso creativo: autores, coautores, desarrolladores, estudios, publishers.</w:t>
              <w:br w:type="textWrapping"/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Contratos en la industria: cesión de derechos, licencias, contratos de trabajo y colaboración.</w:t>
              <w:br w:type="textWrapping"/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rol del abogado/a en proyectos creativos.</w:t>
              <w:br w:type="textWrapping"/>
            </w:r>
          </w:p>
          <w:p w:rsidR="00000000" w:rsidDel="00000000" w:rsidP="00000000" w:rsidRDefault="00000000" w:rsidRPr="00000000" w14:paraId="00000123">
            <w:pPr>
              <w:spacing w:after="240" w:before="240" w:lineRule="auto"/>
              <w:ind w:left="7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Unidad 2: Sistema de propiedad intelectual. La protección de los derechos intelectuales e industriales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9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Concepto y función de la propiedad intelectual como herramienta de desarrollo y protección del conocimiento.</w:t>
              <w:br w:type="textWrapping"/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9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Distinción entre derechos de autor y propiedad industrial.</w:t>
              <w:br w:type="textWrapping"/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29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Marco normativo nacional (Ley 11.723, Ley 22.362, Ley 24.481) e internacional (Convenio de Berna, ADPIC, OMPI).</w:t>
              <w:br w:type="textWrapping"/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29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Derechos morales y patrimoniales.</w:t>
              <w:br w:type="textWrapping"/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29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Duración, titularidad y formas de transmisión de los derechos.</w:t>
              <w:br w:type="textWrapping"/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29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dominio público y las licencias abiertas (Creative Commons, software libre).</w:t>
            </w:r>
          </w:p>
          <w:p w:rsidR="00000000" w:rsidDel="00000000" w:rsidP="00000000" w:rsidRDefault="00000000" w:rsidRPr="00000000" w14:paraId="0000012A">
            <w:pPr>
              <w:pStyle w:val="Heading4"/>
              <w:keepNext w:val="0"/>
              <w:keepLines w:val="0"/>
              <w:rPr>
                <w:rFonts w:ascii="Calibri" w:cs="Calibri" w:eastAsia="Calibri" w:hAnsi="Calibri"/>
              </w:rPr>
            </w:pPr>
            <w:bookmarkStart w:colFirst="0" w:colLast="0" w:name="_heading=h.l31lh1kqcczm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 3: La protección de las obras intelectuales en videojuegos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8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¿Qué se protege como obra intelectual en un videojuego?</w:t>
              <w:br w:type="textWrapping"/>
            </w:r>
          </w:p>
          <w:p w:rsidR="00000000" w:rsidDel="00000000" w:rsidP="00000000" w:rsidRDefault="00000000" w:rsidRPr="00000000" w14:paraId="0000012C">
            <w:pPr>
              <w:numPr>
                <w:ilvl w:val="1"/>
                <w:numId w:val="8"/>
              </w:numPr>
              <w:spacing w:after="0" w:afterAutospacing="0" w:before="0" w:beforeAutospacing="0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Guión, música, ilustraciones, personajes, diseño sonoro, código fuente, interfaz, entorno visual, etc.</w:t>
              <w:br w:type="textWrapping"/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8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Originalidad y expresión: límites de la protección por derecho de autor.</w:t>
              <w:br w:type="textWrapping"/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8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Obras en colaboración y obras colectivas: régimen legal.</w:t>
              <w:br w:type="textWrapping"/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8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de derechos de autor: procedimiento, requisitos y ventajas.</w:t>
              <w:br w:type="textWrapping"/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8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Casos prácticos de conflictos y plagio en la industria de los videojuegos.</w:t>
              <w:br w:type="textWrapping"/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8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Políticas de distribución y uso de contenido protegido en plataformas digitales (Steam, App Store, PlayStation Store, etc.).</w:t>
            </w:r>
          </w:p>
          <w:p w:rsidR="00000000" w:rsidDel="00000000" w:rsidP="00000000" w:rsidRDefault="00000000" w:rsidRPr="00000000" w14:paraId="00000132">
            <w:pPr>
              <w:pStyle w:val="Heading4"/>
              <w:keepNext w:val="0"/>
              <w:keepLines w:val="0"/>
              <w:rPr>
                <w:rFonts w:ascii="Calibri" w:cs="Calibri" w:eastAsia="Calibri" w:hAnsi="Calibri"/>
              </w:rPr>
            </w:pPr>
            <w:bookmarkStart w:colFirst="0" w:colLast="0" w:name="_heading=h.7x5rq0t0ivh2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 4: La protección de la marca y otros signos distintivos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7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marca como activo estratégico en la industria del videojuego.</w:t>
              <w:br w:type="textWrapping"/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Tipos de marcas: denominativas, figurativas, mixtas, tridimensionales.</w:t>
              <w:br w:type="textWrapping"/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del juego, nombre del estudio, nombres de personajes como marcas registrables.</w:t>
              <w:br w:type="textWrapping"/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Procedimiento de registro nacional e internacional (INPI, Protocolo de Madrid).</w:t>
              <w:br w:type="textWrapping"/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Otras herramientas de identidad comercial: nombre de dominio, eslogan, trade dress.</w:t>
              <w:br w:type="textWrapping"/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7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Defensa y vigilancia de marcas: oposiciones, nulidades, acciones por infracción.</w:t>
            </w:r>
          </w:p>
          <w:p w:rsidR="00000000" w:rsidDel="00000000" w:rsidP="00000000" w:rsidRDefault="00000000" w:rsidRPr="00000000" w14:paraId="00000139">
            <w:pPr>
              <w:pStyle w:val="Heading4"/>
              <w:keepNext w:val="0"/>
              <w:keepLines w:val="0"/>
              <w:rPr>
                <w:rFonts w:ascii="Calibri" w:cs="Calibri" w:eastAsia="Calibri" w:hAnsi="Calibri"/>
              </w:rPr>
            </w:pPr>
            <w:bookmarkStart w:colFirst="0" w:colLast="0" w:name="_heading=h.iuxz0pgeg4p9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 5: La protección de los diseños industriales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30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diseño industrial como forma y estética de los productos.</w:t>
              <w:br w:type="textWrapping"/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30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Diferencia entre diseño industrial, obra artística y marca tridimensional.</w:t>
              <w:br w:type="textWrapping"/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30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Requisitos para su protección: novedad y originalidad.</w:t>
              <w:br w:type="textWrapping"/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30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Procedimiento de registro en Argentina y su alcance territorial.</w:t>
              <w:br w:type="textWrapping"/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30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Aplicación en videojuegos: personajes, objetos, escenarios, dispositivos periféricos.</w:t>
              <w:br w:type="textWrapping"/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30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Casos jurisprudenciales y estrategias combinadas de protección (copyright + diseño + marca).</w:t>
            </w:r>
          </w:p>
          <w:p w:rsidR="00000000" w:rsidDel="00000000" w:rsidP="00000000" w:rsidRDefault="00000000" w:rsidRPr="00000000" w14:paraId="00000140">
            <w:pPr>
              <w:pStyle w:val="Heading4"/>
              <w:keepNext w:val="0"/>
              <w:keepLines w:val="0"/>
              <w:rPr>
                <w:rFonts w:ascii="Calibri" w:cs="Calibri" w:eastAsia="Calibri" w:hAnsi="Calibri"/>
              </w:rPr>
            </w:pPr>
            <w:bookmarkStart w:colFirst="0" w:colLast="0" w:name="_heading=h.uxed6ia8n6f4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 6: La protección de innovaciones tecnológicas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24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Innovaciones técnicas en la industria de videojuegos: motores gráficos, algoritmos, interfaces.</w:t>
              <w:br w:type="textWrapping"/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24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patente de invención: requisitos, duración, limitaciones.</w:t>
              <w:br w:type="textWrapping"/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24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Modelos de utilidad.</w:t>
              <w:br w:type="textWrapping"/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24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Software y protección: entre derecho de autor y patentes.</w:t>
              <w:br w:type="textWrapping"/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24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Secreto industrial y know-how como estrategia de protección.</w:t>
              <w:br w:type="textWrapping"/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24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Cláusulas de confidencialidad y contratos tecnológicos.</w:t>
              <w:br w:type="textWrapping"/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24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Propiedad intelectual en entornos colaborativos, incubadoras y proyectos con financiamiento público.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Style w:val="Heading4"/>
              <w:keepNext w:val="0"/>
              <w:keepLines w:val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ib9zwls9tvu5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 7: Contratos con publishers y régimen laboral en la industria del videojuego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6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contrato con el publisher: naturaleza jurídica, partes intervinientes, objeto y principales cláusulas.</w:t>
              <w:br w:type="textWrapping"/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Tipos de contratos: publishing, distribución, co-producción, licencia exclusiva o no exclusiva.</w:t>
              <w:br w:type="textWrapping"/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Derechos y obligaciones del desarrollador y del publisher.</w:t>
              <w:br w:type="textWrapping"/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Cláusulas clave: cesión de derechos, plazos, royalties, monetización, control creativo, actualizaciones y soporte.</w:t>
              <w:br w:type="textWrapping"/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de la propiedad intelectual en el marco contractual.</w:t>
              <w:br w:type="textWrapping"/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Buenas prácticas en la negociación de contratos internacionales.</w:t>
              <w:br w:type="textWrapping"/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Modalidades de contratación laboral en la industria del videojuego: contratos laborales vs. contratos freelance.</w:t>
              <w:br w:type="textWrapping"/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Derechos laborales de trabajadores creativos y tecnológicos.</w:t>
              <w:br w:type="textWrapping"/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Situación legal de artistas, programadores, diseñadores, testers, músicos, guionistas y otros roles.</w:t>
              <w:br w:type="textWrapping"/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trabajo en remoto y sus implicancias legales.</w:t>
              <w:br w:type="textWrapping"/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Protección de derechos en entornos colaborativos y participativos (game jams, hackathons, proyectos estudiantiles).</w:t>
              <w:br w:type="textWrapping"/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Cláusulas de confidencialidad, no competencia y titularidad de las creaciones.</w:t>
              <w:br w:type="textWrapping"/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6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Problemáticas frecuentes: crunch, trabajo no registrado, precarización laboral, propiedad de los assets generados.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METODOLOGÍAS DE ENSEÑANZA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20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vertAlign w:val="baseline"/>
                <w:rtl w:val="0"/>
              </w:rPr>
              <w:t xml:space="preserve">Modalidades de enseñanza: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Clases expositivas y explicativas con una constante búsqueda de participación por parte del estudiantado.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Apertura de espacios de debate.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Ejercicios varios (orales y escritos) de investigación bibliográfica a modo de repaso y como disparador de críticas a los juicios investigados.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Investigación y búsqueda de información en relación a los principales tópicos del taller.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Ejercicios prácticos de relación de los temas entre unidades.</w:t>
            </w:r>
          </w:p>
          <w:p w:rsidR="00000000" w:rsidDel="00000000" w:rsidP="00000000" w:rsidRDefault="00000000" w:rsidRPr="00000000" w14:paraId="00000164">
            <w:pPr>
              <w:spacing w:after="0" w:lineRule="auto"/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20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vertAlign w:val="baseline"/>
                <w:rtl w:val="0"/>
              </w:rPr>
              <w:t xml:space="preserve">Recursos didácticos: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Power point / Sheets, Google docs / Word, PDFs, gráficos, mapas conceptuales, líneas de sucesos/tiempo, imágenes ilustrativas, infografías.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Videos, guías/tutoriales, videojuegos.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PCs, dispositivos móviles (smartphones), acceso a internet mediante conexiones web.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Proyector, pizarra y marcadores.</w:t>
            </w:r>
          </w:p>
          <w:p w:rsidR="00000000" w:rsidDel="00000000" w:rsidP="00000000" w:rsidRDefault="00000000" w:rsidRPr="00000000" w14:paraId="0000016A">
            <w:pPr>
              <w:spacing w:after="0" w:lineRule="auto"/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200" w:lineRule="auto"/>
              <w:rPr>
                <w:rFonts w:ascii="Calibri" w:cs="Calibri" w:eastAsia="Calibri" w:hAnsi="Calibri"/>
                <w:b w:val="0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vertAlign w:val="baseline"/>
                <w:rtl w:val="0"/>
              </w:rPr>
              <w:t xml:space="preserve">Productos tangibles: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9"/>
              </w:numPr>
              <w:spacing w:after="20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Durante la cursada los/as estudiantes realizarán entregas periódicas de trabajos de investigación y propuestas de diseño plasmadas en documentación y software en fase Alpha.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9"/>
              </w:numPr>
              <w:spacing w:after="20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Los/as estudiantes realizarán como TP final un proyecto de prototipo de videojuego de forma grupal, simulando el trabajo que realiza un estudio independiente. Ese proyecto se llevará adelante a lo largo de todo el año para ser publicado en el transcurso de las 2 últimas semanas clases.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EVALUACIÓN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Condiciones de regularidad y régimen de promoción: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El/la estudiante podrá aprobar por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18"/>
              </w:numP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Promoción, 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18"/>
              </w:numPr>
              <w:spacing w:after="200" w:lineRule="auto"/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Evaluación integradora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Por esa misma singularidad,  se requiere una evaluación constante, clase a clase, a través de la participación activa y la realización de actividades presenciales y a distancia a través del campus virtual de la Universidad. Abrimos canales esporádicos propicios para que los/as estudiantes puedan compartir ideas y opiniones sobre los conocimientos adquiridos.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200" w:lineRule="auto"/>
              <w:rPr>
                <w:rFonts w:ascii="Calibri" w:cs="Calibri" w:eastAsia="Calibri" w:hAnsi="Calibri"/>
                <w:b w:val="0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vertAlign w:val="baseline"/>
                <w:rtl w:val="0"/>
              </w:rPr>
              <w:t xml:space="preserve">Modalidad e instrumentos de evaluación: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14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Entrega, exposición y defensa de actividades semanales.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14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Evaluaciones escritas individuales. (Parciales)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14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Evaluaciones prácticas grupales. (TP integrador)</w:t>
            </w:r>
          </w:p>
          <w:p w:rsidR="00000000" w:rsidDel="00000000" w:rsidP="00000000" w:rsidRDefault="00000000" w:rsidRPr="00000000" w14:paraId="0000017F">
            <w:pPr>
              <w:spacing w:after="0" w:lineRule="auto"/>
              <w:ind w:left="61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20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En los parciales se evaluarán los contenidos y conceptos teóricos principales de las unidades como así también el desarrollo de ideas, construcción de planteamientos e hipótesis y el sentido crítico.</w:t>
            </w:r>
          </w:p>
          <w:p w:rsidR="00000000" w:rsidDel="00000000" w:rsidP="00000000" w:rsidRDefault="00000000" w:rsidRPr="00000000" w14:paraId="00000181">
            <w:pPr>
              <w:spacing w:after="20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la evaluación parcial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82">
            <w:pPr>
              <w:spacing w:after="200" w:lineRule="auto"/>
              <w:ind w:left="496.0629921259843" w:firstLine="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1-</w:t>
              <w:tab/>
              <w:t xml:space="preserve">Una (1) evaluación parcial individual a realizarse y entregar promediando el final del 1er cuatrimestre. Debe aprobarse el 70% de este para considerarse aprobado, teniendo la posibilidad de rendir un recuperatorio en caso de desaprobar. El recuperatorio se realizará dos semanas después.</w:t>
            </w:r>
          </w:p>
          <w:p w:rsidR="00000000" w:rsidDel="00000000" w:rsidP="00000000" w:rsidRDefault="00000000" w:rsidRPr="00000000" w14:paraId="00000183">
            <w:pPr>
              <w:spacing w:after="200" w:lineRule="auto"/>
              <w:rPr>
                <w:rFonts w:ascii="Calibri" w:cs="Calibri" w:eastAsia="Calibri" w:hAnsi="Calibri"/>
                <w:b w:val="0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vertAlign w:val="baseline"/>
                <w:rtl w:val="0"/>
              </w:rPr>
              <w:t xml:space="preserve">Criterios de evaluación: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20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Serán criterios de evaluación: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16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Comprensión de conceptos, enfoques y metodologías.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16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Formulación crítica y fundamentada de hipótesis y puntos de vista..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16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Desarrollo de vocabulario técnico específico.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16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Desarrollo del pensamiento crítico.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16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Entrega en tiempo y forma de trabajos solicitados</w:t>
            </w:r>
          </w:p>
          <w:p w:rsidR="00000000" w:rsidDel="00000000" w:rsidP="00000000" w:rsidRDefault="00000000" w:rsidRPr="00000000" w14:paraId="0000018A">
            <w:pPr>
              <w:spacing w:after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200" w:lineRule="auto"/>
              <w:rPr>
                <w:rFonts w:ascii="Calibri" w:cs="Calibri" w:eastAsia="Calibri" w:hAnsi="Calibri"/>
                <w:b w:val="0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vertAlign w:val="baseline"/>
                <w:rtl w:val="0"/>
              </w:rPr>
              <w:t xml:space="preserve">Condiciones de regularidad: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20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Para regularizar el espacio curricular se requiere: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17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Obtener una calificación no inferior a 6 (seis) en la evaluación parcial.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17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Contar con el 100% de actividades individuales y grupales entregadas.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7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Contar con un mínimo del 80% de asistencia a clase al día de cada parcial.</w:t>
            </w:r>
          </w:p>
          <w:p w:rsidR="00000000" w:rsidDel="00000000" w:rsidP="00000000" w:rsidRDefault="00000000" w:rsidRPr="00000000" w14:paraId="00000190">
            <w:pPr>
              <w:spacing w:after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La regularización le permitirá al/la estudiante,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según sea el caso, promocionar 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acceder a la instancia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integrador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200" w:lineRule="auto"/>
              <w:rPr>
                <w:rFonts w:ascii="Calibri" w:cs="Calibri" w:eastAsia="Calibri" w:hAnsi="Calibri"/>
                <w:b w:val="0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vertAlign w:val="baseline"/>
                <w:rtl w:val="0"/>
              </w:rPr>
              <w:t xml:space="preserve">Condiciones de aprobación: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20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probación en modalidad presencial / Virtual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puede ser de las siguientes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dos formas: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15"/>
              </w:numPr>
              <w:spacing w:after="0" w:lineRule="auto"/>
              <w:ind w:left="61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PROMOCIÓN: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numPr>
                <w:ilvl w:val="1"/>
                <w:numId w:val="15"/>
              </w:numPr>
              <w:spacing w:after="0" w:lineRule="auto"/>
              <w:ind w:left="133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probar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parcial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y trabajo integrador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con notas iguales o superiores a 7 y un promedio de 8.</w:t>
            </w:r>
          </w:p>
          <w:p w:rsidR="00000000" w:rsidDel="00000000" w:rsidP="00000000" w:rsidRDefault="00000000" w:rsidRPr="00000000" w14:paraId="00000196">
            <w:pPr>
              <w:numPr>
                <w:ilvl w:val="1"/>
                <w:numId w:val="15"/>
              </w:numPr>
              <w:spacing w:after="0" w:lineRule="auto"/>
              <w:ind w:left="133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Contar con el 100% de actividades individuales y grupales entregadas.</w:t>
            </w:r>
          </w:p>
          <w:p w:rsidR="00000000" w:rsidDel="00000000" w:rsidP="00000000" w:rsidRDefault="00000000" w:rsidRPr="00000000" w14:paraId="00000197">
            <w:pPr>
              <w:numPr>
                <w:ilvl w:val="1"/>
                <w:numId w:val="15"/>
              </w:numPr>
              <w:spacing w:after="200" w:lineRule="auto"/>
              <w:ind w:left="1335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Contar con un mínimo del 80% de asistencia a clases.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20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 la desaprobación de cualquier parcial o evaluación integradora indefectiblemente el/la estudiante está obligado a recursar la materia perdiendo su condición de regular.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20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Rule="auto"/>
              <w:rPr>
                <w:rFonts w:ascii="Calibri" w:cs="Calibri" w:eastAsia="Calibri" w:hAnsi="Calibri"/>
                <w:b w:val="0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DESCRIPCIÓN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ANALÍTICA DE LAS ACTIVIDADES PRÁCTICAS Y TEÓRICAS DE LA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CÁTEDRA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br w:type="textWrapping"/>
              <w:t xml:space="preserve">a) Programación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  Presentación de la materia y panorama legal de la industria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numPr>
                <w:ilvl w:val="0"/>
                <w:numId w:val="19"/>
              </w:numP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Clase 1 – Presentación de la materia y panorama legal de la industria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19"/>
              </w:numP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Temas: Introducción a la propiedad intelectual. El videojuego como obra compleja. Presentación del programa.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19"/>
              </w:numP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Actividad: Debate inicial sobre qué se considera “protegible” en un videojuego. Mapa conceptual grupal colaborativo.</w:t>
            </w:r>
          </w:p>
          <w:p w:rsidR="00000000" w:rsidDel="00000000" w:rsidP="00000000" w:rsidRDefault="00000000" w:rsidRPr="00000000" w14:paraId="000001A8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2 Marco jurídico general del diseño y el desarrollo de videojuegos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numPr>
                <w:ilvl w:val="0"/>
                <w:numId w:val="20"/>
              </w:numP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Temas: Legislación nacional e internacional aplicable. Sujetos jurídicos y relaciones contractuales.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20"/>
              </w:numP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Actividad: Lectura y análisis de normativas clave (Ley 11.723 y Convenio de Berna). Ficha de lectura guiada.</w:t>
            </w:r>
          </w:p>
          <w:p w:rsidR="00000000" w:rsidDel="00000000" w:rsidP="00000000" w:rsidRDefault="00000000" w:rsidRPr="00000000" w14:paraId="000001B0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El sistema de propiedad intelectual: estructura y fundamentos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21"/>
              </w:numP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Temas: Diferencias entre derecho de autor y propiedad industrial. Derechos morales y patrimoniales.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21"/>
              </w:numP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Actividad: Cuadro comparativo entre los diferentes tipos de protección legal. Discusión en clase.</w:t>
            </w:r>
          </w:p>
          <w:p w:rsidR="00000000" w:rsidDel="00000000" w:rsidP="00000000" w:rsidRDefault="00000000" w:rsidRPr="00000000" w14:paraId="000001B9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4 Protección por derecho de autor I: guiones, música, arte, personajes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numPr>
                <w:ilvl w:val="0"/>
                <w:numId w:val="2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Obras protegidas por derecho de autor. Criterios de originalidad y expresión.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2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Estudio de caso práctico (Fallout vs. Westworld / Donkey Kong vs. Universal). Debate con guía de análisis.</w:t>
            </w:r>
          </w:p>
          <w:p w:rsidR="00000000" w:rsidDel="00000000" w:rsidP="00000000" w:rsidRDefault="00000000" w:rsidRPr="00000000" w14:paraId="000001C1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5 Protección por derecho de autor II: software y código fuente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numPr>
                <w:ilvl w:val="0"/>
                <w:numId w:val="2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Software como obra protegida. Diferencia entre copyright y patente.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2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Análisis de licencias de código (ej. Unity vs. Unreal vs. Godot). Debate sobre licencias libres.</w:t>
            </w:r>
          </w:p>
          <w:p w:rsidR="00000000" w:rsidDel="00000000" w:rsidP="00000000" w:rsidRDefault="00000000" w:rsidRPr="00000000" w14:paraId="000001C9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6 Obras colaborativas y colectivas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Autores múltiples, coautoría, régimen legal. Distribución de derechos.</w:t>
              <w:br w:type="textWrapping"/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Role-play: contrato de colaboración entre artistas, programadores y guionistas.</w:t>
            </w:r>
          </w:p>
          <w:p w:rsidR="00000000" w:rsidDel="00000000" w:rsidP="00000000" w:rsidRDefault="00000000" w:rsidRPr="00000000" w14:paraId="000001D1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7  Registro de derechos de autor y licencias abiertas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Proceso de registro en DNDA. Licencias Creative Commons. Dominio público.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Simulación de registro de una obra y análisis de licencias reales en Itch.io.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8 Marcas y signos distintivos en videojuegos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Marcas, logos, personajes, nombres. Registro y uso estratégico.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Taller: análisis de marcas registradas de videojuegos famosos. Propuesta de nombre y logo propio.</w:t>
            </w:r>
          </w:p>
          <w:p w:rsidR="00000000" w:rsidDel="00000000" w:rsidP="00000000" w:rsidRDefault="00000000" w:rsidRPr="00000000" w14:paraId="000001E1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9 Nombre de dominio, eslogan y trade 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numPr>
                <w:ilvl w:val="0"/>
                <w:numId w:val="12"/>
              </w:numPr>
              <w:spacing w:after="240" w:befor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Protección de identidad digital y comercial. Casos de ciberocupación.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Estudio de caso real (Zynga vs. Bang with Friends). Estrategia de protección de un juego indie.</w:t>
            </w:r>
          </w:p>
          <w:p w:rsidR="00000000" w:rsidDel="00000000" w:rsidP="00000000" w:rsidRDefault="00000000" w:rsidRPr="00000000" w14:paraId="000001E8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10  Diseño industrial aplicado a videojuegos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Qué es y qué no es un diseño industrial. Estética y funcionalidad.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Análisis comparativo de personajes y escenarios. Discusión sobre si serían registrables como diseño.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11 Registro de diseño industrial y protección combinada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Requisitos de novedad. Diseño + marca + autor: estrategias mixtas.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Simulación de presentación ante INPI de un diseño propio. Tutoría individual por equipo.</w:t>
            </w:r>
          </w:p>
          <w:p w:rsidR="00000000" w:rsidDel="00000000" w:rsidP="00000000" w:rsidRDefault="00000000" w:rsidRPr="00000000" w14:paraId="000001F7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12 Patentes e innovaciones tecnológicas en la industria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Motor gráfico, hardware, interfaces. Patente vs. secreto industrial.</w:t>
            </w:r>
          </w:p>
          <w:p w:rsidR="00000000" w:rsidDel="00000000" w:rsidP="00000000" w:rsidRDefault="00000000" w:rsidRPr="00000000" w14:paraId="000001FF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Estudio de caso: Nintendo vs. Anascape (controles y patentes). Análisis en grupos.</w:t>
            </w:r>
          </w:p>
          <w:p w:rsidR="00000000" w:rsidDel="00000000" w:rsidP="00000000" w:rsidRDefault="00000000" w:rsidRPr="00000000" w14:paraId="00000200">
            <w:pPr>
              <w:ind w:left="72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13 Contratos con publishers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Temas: Contrato de publicación. Cláusulas críticas. Cesión de derechos.</w:t>
              <w:br w:type="textWrapping"/>
            </w:r>
          </w:p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Actividad: Simulación de negociación de contrato entre desarrolladores y publisher. Juego de roles.</w:t>
            </w:r>
          </w:p>
          <w:p w:rsidR="00000000" w:rsidDel="00000000" w:rsidP="00000000" w:rsidRDefault="00000000" w:rsidRPr="00000000" w14:paraId="00000208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14 Modalidades de trabajo y relaciones laborales en el sector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Temas: Régimen de trabajo freelance, remoto y en estudio. Problemas laborales típicos.</w:t>
              <w:br w:type="textWrapping"/>
            </w:r>
          </w:p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Actividad: Lectura de artículos sobre “crunch time”. Debate: ¿regulación o cultura de la industria?</w:t>
            </w:r>
          </w:p>
          <w:p w:rsidR="00000000" w:rsidDel="00000000" w:rsidP="00000000" w:rsidRDefault="00000000" w:rsidRPr="00000000" w14:paraId="00000211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15 Revisión final y protección integral de un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Estrategia legal de protección combinada de una IP. Revisión de casos anteriores.</w:t>
              <w:br w:type="textWrapping"/>
            </w:r>
          </w:p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Presentación de estrategia legal de protección para un videojuego propio o ficticio.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16 Evaluación integradora y cierre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Temas: Repaso general. Evaluación integradora.</w:t>
              <w:br w:type="textWrapping"/>
            </w:r>
          </w:p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Actividad: Examen integrador teórico-práctico + autoevaluación de aprendizajes y cierre participativo.</w:t>
            </w:r>
          </w:p>
          <w:p w:rsidR="00000000" w:rsidDel="00000000" w:rsidP="00000000" w:rsidRDefault="00000000" w:rsidRPr="00000000" w14:paraId="00000222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b) Guía de Actividades (Incluir fichas de TP, etc.)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ACTIVIDAD EN CLASE: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“Desafíos en la protección de la propiedad intelectual en el sector del juego“</w:t>
            </w:r>
          </w:p>
          <w:p w:rsidR="00000000" w:rsidDel="00000000" w:rsidP="00000000" w:rsidRDefault="00000000" w:rsidRPr="00000000" w14:paraId="0000023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Debate del Fallo Atari, Inc. contra North American Philips Consumer Electronics Corp.</w:t>
            </w:r>
          </w:p>
          <w:p w:rsidR="00000000" w:rsidDel="00000000" w:rsidP="00000000" w:rsidRDefault="00000000" w:rsidRPr="00000000" w14:paraId="0000023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ACTIVIDAD EN CLASE: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Lectura:Cultura digital y derecho de autor: manual del usuario</w:t>
            </w:r>
          </w:p>
          <w:p w:rsidR="00000000" w:rsidDel="00000000" w:rsidP="00000000" w:rsidRDefault="00000000" w:rsidRPr="00000000" w14:paraId="0000023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</w:t>
            </w:r>
          </w:p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Protección de las Obras para su Licenciamiento</w:t>
            </w:r>
          </w:p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Realizar un registro de derechos de autor de la obra seleccionada a través de una plataforma oficial (por ejemplo, la Dirección Nacional del Derecho de Autor en Argentina)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ACTIVIDAD EN CLASE: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Lectura: ACUERDO DE LICENCIA DE USUARIO FINALhttps://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espritgames.com/es/licenses/general/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  desarrolladores de videojuegos y abogados de propiedad intelectual, en un escenario donde deben decidir si el uso de ciertos elementos en un juego sería considerado uso justo.  Trabajo Práctico ADIVINA EL MEME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ACTIVIDAD EN CLASE: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Lectura ¿Es Palworld, la última sensación de los videojuegos, culpable de infringir los derechos de autor de Pokémon?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https://news.northeastern.edu/2024/01/25/palworld-pokemon-copyright-infringement/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Elabore los argumentos en Palworld.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de clase Pautas para la publicación en línea de contenido de juegos de Nintendo en plataformas de video e imágenes</w:t>
            </w:r>
          </w:p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 Desarrollo del caso de Nintendo con relación a sus cambios de políticas en el uso de su IP</w:t>
            </w:r>
          </w:p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ACTIVIDAD EN CLASE: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de clase Videojuegos y derechos. Una introducción a su creciente relevancia.</w:t>
            </w:r>
          </w:p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 de clase: Disputas Legales en Videojuegos: Lecciones del Caso Fortnite</w:t>
            </w:r>
          </w:p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numPr>
                <w:ilvl w:val="0"/>
                <w:numId w:val="31"/>
              </w:numPr>
              <w:spacing w:after="0" w:afterAutospacing="0" w:befor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sugerida: Manual del usuario DNDA para registro online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31"/>
              </w:numPr>
              <w:spacing w:after="240" w:before="0" w:beforeAutospacing="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 Simulación de carga de un proyecto en el sistema de la DNDA</w:t>
            </w:r>
          </w:p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 EN CLASE:Lectura sugerida: Introducción a la Ley de Marcas (Ley 22.362, artículos seleccionados)</w:t>
            </w:r>
          </w:p>
          <w:p w:rsidR="00000000" w:rsidDel="00000000" w:rsidP="00000000" w:rsidRDefault="00000000" w:rsidRPr="00000000" w14:paraId="0000026F">
            <w:pPr>
              <w:numPr>
                <w:ilvl w:val="0"/>
                <w:numId w:val="31"/>
              </w:numPr>
              <w:spacing w:after="240" w:before="24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 Taller de diseño de marca y logotipo para videojuego original</w:t>
            </w:r>
          </w:p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numPr>
                <w:ilvl w:val="0"/>
                <w:numId w:val="27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sugerida: Caso Zynga vs. Bang with Friends (resumen comentado)</w:t>
            </w:r>
          </w:p>
          <w:p w:rsidR="00000000" w:rsidDel="00000000" w:rsidP="00000000" w:rsidRDefault="00000000" w:rsidRPr="00000000" w14:paraId="00000277">
            <w:pPr>
              <w:numPr>
                <w:ilvl w:val="0"/>
                <w:numId w:val="27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 Análisis de identidad visual y digital de videojuegos indie. Propuesta de nombre y slogan propio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numPr>
                <w:ilvl w:val="0"/>
                <w:numId w:val="5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sugerida: Manual del INPI sobre diseños industriales (capítulo introductorio)</w:t>
            </w:r>
          </w:p>
          <w:p w:rsidR="00000000" w:rsidDel="00000000" w:rsidP="00000000" w:rsidRDefault="00000000" w:rsidRPr="00000000" w14:paraId="0000027E">
            <w:pPr>
              <w:numPr>
                <w:ilvl w:val="0"/>
                <w:numId w:val="5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 Relevamiento y selección de personajes/escenarios de juegos conocidos. Evaluación de registrabilida</w:t>
            </w:r>
          </w:p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sugerida: Ejemplos de patentes y diseños registrados (bases INPI y WIPO)</w:t>
            </w:r>
          </w:p>
          <w:p w:rsidR="00000000" w:rsidDel="00000000" w:rsidP="00000000" w:rsidRDefault="00000000" w:rsidRPr="00000000" w14:paraId="00000286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 Simulación de presentación de registro de diseño industrial de un objeto del juego</w:t>
            </w:r>
          </w:p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sugerida: Caso Nintendo vs. Anascape (resumen comentado)</w:t>
            </w:r>
          </w:p>
          <w:p w:rsidR="00000000" w:rsidDel="00000000" w:rsidP="00000000" w:rsidRDefault="00000000" w:rsidRPr="00000000" w14:paraId="0000028E">
            <w:pPr>
              <w:numPr>
                <w:ilvl w:val="0"/>
                <w:numId w:val="4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 Discusión grupal sobre qué se puede patentar en la industria del videojuego</w:t>
            </w:r>
          </w:p>
          <w:p w:rsidR="00000000" w:rsidDel="00000000" w:rsidP="00000000" w:rsidRDefault="00000000" w:rsidRPr="00000000" w14:paraId="0000028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numPr>
                <w:ilvl w:val="0"/>
                <w:numId w:val="28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sugerida: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Cláusulas comunes en contratos de publicación (resumen de ejemplos reales)</w:t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28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Simulación de negociación entre desarrolladores y publisher. Juego de roles</w:t>
            </w:r>
          </w:p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sugerida: Artículo periodístico y doctrinario sobre "crunch time" y condiciones laborales</w:t>
            </w:r>
          </w:p>
          <w:p w:rsidR="00000000" w:rsidDel="00000000" w:rsidP="00000000" w:rsidRDefault="00000000" w:rsidRPr="00000000" w14:paraId="0000029E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 Debate: "¿Es necesario regular el trabajo en la industria del videojuego?"</w:t>
            </w:r>
          </w:p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numPr>
                <w:ilvl w:val="0"/>
                <w:numId w:val="26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sugerida: Modelo de estrategia legal integral (artículo o cuadro esquemático)</w:t>
            </w:r>
          </w:p>
          <w:p w:rsidR="00000000" w:rsidDel="00000000" w:rsidP="00000000" w:rsidRDefault="00000000" w:rsidRPr="00000000" w14:paraId="000002A6">
            <w:pPr>
              <w:numPr>
                <w:ilvl w:val="0"/>
                <w:numId w:val="26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 Diseño y presentación de estrategia de protección legal para videojuego propio</w:t>
            </w:r>
          </w:p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SEMANA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numPr>
                <w:ilvl w:val="0"/>
                <w:numId w:val="25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Lectura sugerida: Guía de repaso de contenidos clave</w:t>
            </w:r>
          </w:p>
          <w:p w:rsidR="00000000" w:rsidDel="00000000" w:rsidP="00000000" w:rsidRDefault="00000000" w:rsidRPr="00000000" w14:paraId="000002AE">
            <w:pPr>
              <w:numPr>
                <w:ilvl w:val="0"/>
                <w:numId w:val="25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Actividad: Examen integrador escrito + autoevaluación y devolución participativa en clase</w:t>
            </w:r>
          </w:p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2B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BIBLIOGRAFÍA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Bibliografía obligatoria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87.0" w:type="dxa"/>
        <w:jc w:val="left"/>
        <w:tblInd w:w="-15.0" w:type="dxa"/>
        <w:tblLayout w:type="fixed"/>
        <w:tblLook w:val="0000"/>
      </w:tblPr>
      <w:tblGrid>
        <w:gridCol w:w="3580"/>
        <w:gridCol w:w="5507"/>
        <w:tblGridChange w:id="0">
          <w:tblGrid>
            <w:gridCol w:w="3580"/>
            <w:gridCol w:w="550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propiedad intelectual para las empresas.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Autores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Graciela A. Esnaola H.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widowControl w:val="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Organización mundial de la Propiedad Intelectual. http://www.wipo.int/export/sites/www/sme/es/ip_business/pdf/ip_business.pdf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Año de 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20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la Cátedra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Biblioteca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87.0" w:type="dxa"/>
        <w:jc w:val="left"/>
        <w:tblInd w:w="-15.0" w:type="dxa"/>
        <w:tblLayout w:type="fixed"/>
        <w:tblLook w:val="0000"/>
      </w:tblPr>
      <w:tblGrid>
        <w:gridCol w:w="3580"/>
        <w:gridCol w:w="5507"/>
        <w:tblGridChange w:id="0">
          <w:tblGrid>
            <w:gridCol w:w="3580"/>
            <w:gridCol w:w="550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widowControl w:val="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“Sistema de propiedad intelectual. La protección de los derechos Intelectuales e Industriales”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Autores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MANUAL DE PROPIEDAD INDUSTRIAL (2ª ED)CARLOS FERNANDEZ-NOVOA; JOSE MANUEL OTERO LASTRES;MANUEL BOTANA AGRA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Marcial Pons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Año de 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la Cátedra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Biblioteca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20.0" w:type="dxa"/>
        <w:jc w:val="left"/>
        <w:tblInd w:w="-15.0" w:type="dxa"/>
        <w:tblLayout w:type="fixed"/>
        <w:tblLook w:val="0000"/>
      </w:tblPr>
      <w:tblGrid>
        <w:gridCol w:w="3580"/>
        <w:gridCol w:w="4940"/>
        <w:tblGridChange w:id="0">
          <w:tblGrid>
            <w:gridCol w:w="3580"/>
            <w:gridCol w:w="49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Derecho de los Modelos y Diseños Industriales: La protección de los diseños incorporados a los productos.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Autores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Domma Diego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Albrematica.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Año de 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la Cátedra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Biblioteca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8.0" w:type="dxa"/>
        <w:jc w:val="left"/>
        <w:tblInd w:w="-15.0" w:type="dxa"/>
        <w:tblLayout w:type="fixed"/>
        <w:tblLook w:val="0000"/>
      </w:tblPr>
      <w:tblGrid>
        <w:gridCol w:w="3580"/>
        <w:gridCol w:w="5068"/>
        <w:tblGridChange w:id="0">
          <w:tblGrid>
            <w:gridCol w:w="3580"/>
            <w:gridCol w:w="506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derecho de autor en Argentina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Autores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Villalba y Lipszyc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Año de 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la Cátedra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Biblioteca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20.0" w:type="dxa"/>
        <w:jc w:val="left"/>
        <w:tblInd w:w="-15.0" w:type="dxa"/>
        <w:tblLayout w:type="fixed"/>
        <w:tblLook w:val="0000"/>
      </w:tblPr>
      <w:tblGrid>
        <w:gridCol w:w="3580"/>
        <w:gridCol w:w="4940"/>
        <w:tblGridChange w:id="0">
          <w:tblGrid>
            <w:gridCol w:w="3580"/>
            <w:gridCol w:w="49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“Derecho de Marcas”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Autores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Jorge Otamendi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widowControl w:val="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Ed. Abeledo Perrot, 2003.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Año de 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la Cátedra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Biblioteca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520.0" w:type="dxa"/>
        <w:jc w:val="left"/>
        <w:tblInd w:w="-15.0" w:type="dxa"/>
        <w:tblLayout w:type="fixed"/>
        <w:tblLook w:val="0000"/>
      </w:tblPr>
      <w:tblGrid>
        <w:gridCol w:w="3580"/>
        <w:gridCol w:w="4940"/>
        <w:tblGridChange w:id="0">
          <w:tblGrid>
            <w:gridCol w:w="3580"/>
            <w:gridCol w:w="49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widowControl w:val="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“Derecho de Marcas”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Autores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Gabriel Martínez Medrano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Roca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Año de 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la Cátedra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Ejemplares disponibles en Biblioteca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993" w:top="1984.251968503937" w:left="1701" w:right="1416" w:header="568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0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doni" w:cs="Bodoni" w:eastAsia="Bodoni" w:hAnsi="Bodoni"/>
        <w:b w:val="1"/>
        <w:i w:val="1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859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3070"/>
      <w:gridCol w:w="2520"/>
      <w:gridCol w:w="3000"/>
      <w:tblGridChange w:id="0">
        <w:tblGrid>
          <w:gridCol w:w="3070"/>
          <w:gridCol w:w="2520"/>
          <w:gridCol w:w="3000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3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3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3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3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3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  <w:t xml:space="preserve">www.ucsf.edu.ar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3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0B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doni" w:cs="Bodoni" w:eastAsia="Bodoni" w:hAnsi="Bodoni"/>
        <w:b w:val="1"/>
        <w:i w:val="1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Bodoni" w:cs="Bodoni" w:eastAsia="Bodoni" w:hAnsi="Bodoni"/>
        <w:b w:val="1"/>
        <w:i w:val="1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  <w:drawing>
        <wp:inline distB="0" distT="0" distL="114300" distR="114300">
          <wp:extent cx="4846320" cy="79629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46320" cy="796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lowerLetter"/>
      <w:lvlText w:val="%1)"/>
      <w:lvlJc w:val="left"/>
      <w:pPr>
        <w:ind w:left="61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75" w:hanging="180"/>
      </w:pPr>
      <w:rPr>
        <w:vertAlign w:val="baseline"/>
      </w:rPr>
    </w:lvl>
  </w:abstractNum>
  <w:abstractNum w:abstractNumId="15">
    <w:lvl w:ilvl="0">
      <w:start w:val="1"/>
      <w:numFmt w:val="lowerLetter"/>
      <w:lvlText w:val="%1)"/>
      <w:lvlJc w:val="left"/>
      <w:pPr>
        <w:ind w:left="61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75" w:hanging="180"/>
      </w:pPr>
      <w:rPr>
        <w:vertAlign w:val="baseline"/>
      </w:rPr>
    </w:lvl>
  </w:abstractNum>
  <w:abstractNum w:abstractNumId="16">
    <w:lvl w:ilvl="0">
      <w:start w:val="1"/>
      <w:numFmt w:val="lowerLetter"/>
      <w:lvlText w:val="%1)"/>
      <w:lvlJc w:val="left"/>
      <w:pPr>
        <w:ind w:left="61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75" w:hanging="180"/>
      </w:pPr>
      <w:rPr>
        <w:vertAlign w:val="baseline"/>
      </w:rPr>
    </w:lvl>
  </w:abstractNum>
  <w:abstractNum w:abstractNumId="17">
    <w:lvl w:ilvl="0">
      <w:start w:val="1"/>
      <w:numFmt w:val="lowerLetter"/>
      <w:lvlText w:val="%1)"/>
      <w:lvlJc w:val="left"/>
      <w:pPr>
        <w:ind w:left="61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75" w:hanging="180"/>
      </w:pPr>
      <w:rPr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spritgames.com/es/licenses/general/" TargetMode="External"/><Relationship Id="rId8" Type="http://schemas.openxmlformats.org/officeDocument/2006/relationships/hyperlink" Target="https://news.northeastern.edu/2024/01/25/palworld-pokemon-copyright-infringemen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06ntz5L+wEcx2laEPb/rxj6dOQ==">CgMxLjAyDmgud2U3azN2YjR4NG9kMg5oLmwzMWxoMWtxY2N6bTIOaC43eDVycTB0MGl2aDIyDmguaXV4ejBwZ2VnNHA5Mg5oLnV4ZWQ2aWE4bjZmNDIOaC5pYjl6d2xzOXR2dTU4AHIhMVZHcE83OWFURzFad01zTUxqeXZrZHltM2VidFhuT0RH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