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810431" w:rsidRPr="00810431" w:rsidTr="00810431">
        <w:trPr>
          <w:tblCellSpacing w:w="0" w:type="dxa"/>
        </w:trPr>
        <w:tc>
          <w:tcPr>
            <w:tcW w:w="0" w:type="auto"/>
            <w:shd w:val="clear" w:color="auto" w:fill="000000"/>
            <w:vAlign w:val="center"/>
            <w:hideMark/>
          </w:tcPr>
          <w:p w:rsidR="00810431" w:rsidRPr="00810431" w:rsidRDefault="00810431" w:rsidP="00810431">
            <w:pPr>
              <w:spacing w:before="90" w:after="90" w:line="240" w:lineRule="auto"/>
              <w:jc w:val="center"/>
              <w:rPr>
                <w:rFonts w:ascii="Times New Roman" w:eastAsia="Times New Roman" w:hAnsi="Times New Roman" w:cs="Times New Roman"/>
                <w:sz w:val="24"/>
                <w:szCs w:val="24"/>
                <w:lang w:eastAsia="es-AR"/>
              </w:rPr>
            </w:pPr>
            <w:r w:rsidRPr="00810431">
              <w:rPr>
                <w:rFonts w:ascii="Times New Roman" w:eastAsia="Times New Roman" w:hAnsi="Times New Roman" w:cs="Times New Roman"/>
                <w:b/>
                <w:bCs/>
                <w:color w:val="FFFFFF"/>
                <w:sz w:val="24"/>
                <w:szCs w:val="24"/>
                <w:lang w:eastAsia="es-AR"/>
              </w:rPr>
              <w:t>La historia de la Filosofía según Heidegger</w:t>
            </w:r>
          </w:p>
        </w:tc>
      </w:tr>
      <w:tr w:rsidR="00810431" w:rsidRPr="00810431" w:rsidTr="00810431">
        <w:trPr>
          <w:trHeight w:val="150"/>
          <w:tblCellSpacing w:w="0" w:type="dxa"/>
        </w:trPr>
        <w:tc>
          <w:tcPr>
            <w:tcW w:w="0" w:type="auto"/>
            <w:vAlign w:val="center"/>
            <w:hideMark/>
          </w:tcPr>
          <w:p w:rsidR="00810431" w:rsidRPr="00810431" w:rsidRDefault="00810431" w:rsidP="00810431">
            <w:pPr>
              <w:spacing w:after="0" w:line="240" w:lineRule="auto"/>
              <w:rPr>
                <w:rFonts w:ascii="Times New Roman" w:eastAsia="Times New Roman" w:hAnsi="Times New Roman" w:cs="Times New Roman"/>
                <w:sz w:val="16"/>
                <w:szCs w:val="24"/>
                <w:lang w:eastAsia="es-AR"/>
              </w:rPr>
            </w:pPr>
          </w:p>
        </w:tc>
      </w:tr>
      <w:tr w:rsidR="00810431" w:rsidRPr="00810431" w:rsidTr="00810431">
        <w:trPr>
          <w:tblCellSpacing w:w="0" w:type="dxa"/>
        </w:trPr>
        <w:tc>
          <w:tcPr>
            <w:tcW w:w="0" w:type="auto"/>
            <w:vAlign w:val="center"/>
            <w:hideMark/>
          </w:tcPr>
          <w:p w:rsidR="00810431" w:rsidRPr="00810431" w:rsidRDefault="00810431" w:rsidP="00810431">
            <w:pPr>
              <w:spacing w:after="0" w:line="240" w:lineRule="auto"/>
              <w:ind w:left="45" w:right="45"/>
              <w:jc w:val="both"/>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En la Introducción a </w:t>
            </w:r>
            <w:r w:rsidRPr="00810431">
              <w:rPr>
                <w:rFonts w:ascii="Times New Roman" w:eastAsia="Times New Roman" w:hAnsi="Times New Roman" w:cs="Times New Roman"/>
                <w:i/>
                <w:iCs/>
                <w:sz w:val="24"/>
                <w:szCs w:val="24"/>
                <w:lang w:eastAsia="es-AR"/>
              </w:rPr>
              <w:t>Qué es la Metafísica</w:t>
            </w:r>
            <w:r w:rsidRPr="00810431">
              <w:rPr>
                <w:rFonts w:ascii="Times New Roman" w:eastAsia="Times New Roman" w:hAnsi="Times New Roman" w:cs="Times New Roman"/>
                <w:sz w:val="24"/>
                <w:szCs w:val="24"/>
                <w:lang w:eastAsia="es-AR"/>
              </w:rPr>
              <w:t>, obra escrita por </w:t>
            </w:r>
            <w:hyperlink r:id="rId4" w:history="1">
              <w:r w:rsidRPr="00810431">
                <w:rPr>
                  <w:rFonts w:ascii="Times New Roman" w:eastAsia="Times New Roman" w:hAnsi="Times New Roman" w:cs="Times New Roman"/>
                  <w:color w:val="0000FF"/>
                  <w:sz w:val="24"/>
                  <w:szCs w:val="24"/>
                  <w:bdr w:val="none" w:sz="0" w:space="0" w:color="auto" w:frame="1"/>
                  <w:lang w:eastAsia="es-AR"/>
                </w:rPr>
                <w:t>Heidegger</w:t>
              </w:r>
            </w:hyperlink>
            <w:r w:rsidRPr="00810431">
              <w:rPr>
                <w:rFonts w:ascii="Times New Roman" w:eastAsia="Times New Roman" w:hAnsi="Times New Roman" w:cs="Times New Roman"/>
                <w:sz w:val="24"/>
                <w:szCs w:val="24"/>
                <w:lang w:eastAsia="es-AR"/>
              </w:rPr>
              <w:t> en 1949, el filósofo confiesa que su propósito es </w:t>
            </w:r>
            <w:r w:rsidRPr="00810431">
              <w:rPr>
                <w:rFonts w:ascii="Times New Roman" w:eastAsia="Times New Roman" w:hAnsi="Times New Roman" w:cs="Times New Roman"/>
                <w:i/>
                <w:iCs/>
                <w:sz w:val="24"/>
                <w:szCs w:val="24"/>
                <w:lang w:eastAsia="es-AR"/>
              </w:rPr>
              <w:t>“preparar la superación de la Metafísica”</w:t>
            </w:r>
            <w:r w:rsidRPr="00810431">
              <w:rPr>
                <w:rFonts w:ascii="Times New Roman" w:eastAsia="Times New Roman" w:hAnsi="Times New Roman" w:cs="Times New Roman"/>
                <w:sz w:val="24"/>
                <w:szCs w:val="24"/>
                <w:lang w:eastAsia="es-AR"/>
              </w:rPr>
              <w:t>. Ésta, debido al "olvido del ser"</w:t>
            </w:r>
            <w:r w:rsidRPr="00810431">
              <w:rPr>
                <w:rFonts w:ascii="Times New Roman" w:eastAsia="Times New Roman" w:hAnsi="Times New Roman" w:cs="Times New Roman"/>
                <w:i/>
                <w:iCs/>
                <w:sz w:val="24"/>
                <w:szCs w:val="24"/>
                <w:lang w:eastAsia="es-AR"/>
              </w:rPr>
              <w:t>,</w:t>
            </w:r>
            <w:r w:rsidRPr="00810431">
              <w:rPr>
                <w:rFonts w:ascii="Times New Roman" w:eastAsia="Times New Roman" w:hAnsi="Times New Roman" w:cs="Times New Roman"/>
                <w:sz w:val="24"/>
                <w:szCs w:val="24"/>
                <w:lang w:eastAsia="es-AR"/>
              </w:rPr>
              <w:t> ha pensado sólo al </w:t>
            </w:r>
            <w:r w:rsidRPr="00810431">
              <w:rPr>
                <w:rFonts w:ascii="Times New Roman" w:eastAsia="Times New Roman" w:hAnsi="Times New Roman" w:cs="Times New Roman"/>
                <w:i/>
                <w:iCs/>
                <w:sz w:val="24"/>
                <w:szCs w:val="24"/>
                <w:lang w:eastAsia="es-AR"/>
              </w:rPr>
              <w:t>ente</w:t>
            </w:r>
            <w:r w:rsidRPr="00810431">
              <w:rPr>
                <w:rFonts w:ascii="Times New Roman" w:eastAsia="Times New Roman" w:hAnsi="Times New Roman" w:cs="Times New Roman"/>
                <w:sz w:val="24"/>
                <w:szCs w:val="24"/>
                <w:lang w:eastAsia="es-AR"/>
              </w:rPr>
              <w:t>, sin llegar a aquello que hace que el ente sea, al</w:t>
            </w:r>
            <w:r w:rsidR="00A50797">
              <w:rPr>
                <w:rFonts w:ascii="Times New Roman" w:eastAsia="Times New Roman" w:hAnsi="Times New Roman" w:cs="Times New Roman"/>
                <w:sz w:val="24"/>
                <w:szCs w:val="24"/>
                <w:lang w:eastAsia="es-AR"/>
              </w:rPr>
              <w:t xml:space="preserve"> </w:t>
            </w:r>
            <w:bookmarkStart w:id="0" w:name="_GoBack"/>
            <w:bookmarkEnd w:id="0"/>
            <w:r w:rsidRPr="00810431">
              <w:rPr>
                <w:rFonts w:ascii="Times New Roman" w:eastAsia="Times New Roman" w:hAnsi="Times New Roman" w:cs="Times New Roman"/>
                <w:i/>
                <w:iCs/>
                <w:sz w:val="24"/>
                <w:szCs w:val="24"/>
                <w:lang w:eastAsia="es-AR"/>
              </w:rPr>
              <w:t>ser</w:t>
            </w:r>
            <w:r w:rsidRPr="00810431">
              <w:rPr>
                <w:rFonts w:ascii="Times New Roman" w:eastAsia="Times New Roman" w:hAnsi="Times New Roman" w:cs="Times New Roman"/>
                <w:sz w:val="24"/>
                <w:szCs w:val="24"/>
                <w:lang w:eastAsia="es-AR"/>
              </w:rPr>
              <w:t>. </w:t>
            </w:r>
          </w:p>
          <w:p w:rsidR="00810431" w:rsidRPr="00810431" w:rsidRDefault="00810431" w:rsidP="00810431">
            <w:pPr>
              <w:spacing w:before="180" w:after="180" w:line="240" w:lineRule="auto"/>
              <w:ind w:left="45" w:right="45"/>
              <w:jc w:val="both"/>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En su visión de la historia de la Filosofía, a la cual considera el eje central de la historia toda de Occidente, el anuncio nietzscheano de la "muerte de Dios" y la caída en el nihilismo ocupa un lugar de suma importancia. Otro tanto ocurre con el auge de la Tecnología que caracteriza al siglo XX. Para Heidegger, ambos fenómenos tienen su origen en el olvido del ser, el acontecimiento central de la historia de la Metafísica. Éste nos ha conducido al nihilismo y la tecnocracia. </w:t>
            </w:r>
          </w:p>
          <w:p w:rsidR="00810431" w:rsidRPr="00810431" w:rsidRDefault="00810431" w:rsidP="00810431">
            <w:pPr>
              <w:spacing w:before="180" w:after="180" w:line="240" w:lineRule="auto"/>
              <w:ind w:left="45" w:right="45"/>
              <w:jc w:val="both"/>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El hombre es el "animal metafísico" y su comprensión del ser no es sólo un tema de reflexión de intelectuales sino el factor determinante de la relación del hombre consigo mismo, con los demás y con el mundo.</w:t>
            </w:r>
          </w:p>
          <w:p w:rsidR="00810431" w:rsidRPr="00810431" w:rsidRDefault="00810431" w:rsidP="00810431">
            <w:pPr>
              <w:spacing w:before="180" w:after="180" w:line="240" w:lineRule="auto"/>
              <w:ind w:left="45" w:right="45"/>
              <w:jc w:val="both"/>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El siguiente cuadro presenta, en forma esquemática, la concepción heideggeriana de la historia de la Filosofía. Debajo del mismo se encuentra una breve explicación. </w:t>
            </w:r>
          </w:p>
        </w:tc>
      </w:tr>
      <w:tr w:rsidR="00810431" w:rsidRPr="00810431" w:rsidTr="00810431">
        <w:trPr>
          <w:trHeight w:val="270"/>
          <w:tblCellSpacing w:w="0" w:type="dxa"/>
        </w:trPr>
        <w:tc>
          <w:tcPr>
            <w:tcW w:w="0" w:type="auto"/>
            <w:vAlign w:val="center"/>
            <w:hideMark/>
          </w:tcPr>
          <w:p w:rsidR="00810431" w:rsidRPr="00810431" w:rsidRDefault="00810431" w:rsidP="00810431">
            <w:pPr>
              <w:spacing w:after="0" w:line="240" w:lineRule="auto"/>
              <w:rPr>
                <w:rFonts w:ascii="Times New Roman" w:eastAsia="Times New Roman" w:hAnsi="Times New Roman" w:cs="Times New Roman"/>
                <w:sz w:val="24"/>
                <w:szCs w:val="24"/>
                <w:lang w:eastAsia="es-AR"/>
              </w:rPr>
            </w:pPr>
          </w:p>
        </w:tc>
      </w:tr>
      <w:tr w:rsidR="00810431" w:rsidRPr="00810431" w:rsidTr="00810431">
        <w:trPr>
          <w:tblCellSpacing w:w="0" w:type="dxa"/>
        </w:trPr>
        <w:tc>
          <w:tcPr>
            <w:tcW w:w="0" w:type="auto"/>
            <w:vAlign w:val="center"/>
            <w:hideMark/>
          </w:tcPr>
          <w:p w:rsidR="00810431" w:rsidRPr="00810431" w:rsidRDefault="00810431" w:rsidP="00810431">
            <w:pPr>
              <w:spacing w:before="60" w:after="0" w:line="240" w:lineRule="auto"/>
              <w:ind w:left="45" w:right="45"/>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val="es-ES" w:eastAsia="es-ES"/>
              </w:rPr>
              <w:drawing>
                <wp:inline distT="0" distB="0" distL="0" distR="0">
                  <wp:extent cx="5495925" cy="3609975"/>
                  <wp:effectExtent l="0" t="0" r="9525" b="9525"/>
                  <wp:docPr id="1" name="Imagen 1" descr="http://www.luventicus.org/articulos/03U017/heideg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venticus.org/articulos/03U017/heidegg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3609975"/>
                          </a:xfrm>
                          <a:prstGeom prst="rect">
                            <a:avLst/>
                          </a:prstGeom>
                          <a:noFill/>
                          <a:ln>
                            <a:noFill/>
                          </a:ln>
                        </pic:spPr>
                      </pic:pic>
                    </a:graphicData>
                  </a:graphic>
                </wp:inline>
              </w:drawing>
            </w:r>
          </w:p>
        </w:tc>
      </w:tr>
      <w:tr w:rsidR="00810431" w:rsidRPr="00810431" w:rsidTr="00810431">
        <w:trPr>
          <w:tblCellSpacing w:w="0" w:type="dxa"/>
        </w:trPr>
        <w:tc>
          <w:tcPr>
            <w:tcW w:w="0" w:type="auto"/>
            <w:vAlign w:val="center"/>
            <w:hideMark/>
          </w:tcPr>
          <w:p w:rsidR="00810431" w:rsidRPr="00810431" w:rsidRDefault="00810431" w:rsidP="00810431">
            <w:pPr>
              <w:spacing w:before="270" w:after="180" w:line="240" w:lineRule="auto"/>
              <w:ind w:left="45" w:right="45"/>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Los primeros filósofos vislumbraron el misterio del ser. En ese sentido podemos afirmar que los </w:t>
            </w:r>
            <w:r w:rsidRPr="00810431">
              <w:rPr>
                <w:rFonts w:ascii="Times New Roman" w:eastAsia="Times New Roman" w:hAnsi="Times New Roman" w:cs="Times New Roman"/>
                <w:b/>
                <w:bCs/>
                <w:sz w:val="24"/>
                <w:szCs w:val="24"/>
                <w:lang w:eastAsia="es-AR"/>
              </w:rPr>
              <w:t>filósofos presocráticos</w:t>
            </w:r>
            <w:r w:rsidRPr="00810431">
              <w:rPr>
                <w:rFonts w:ascii="Times New Roman" w:eastAsia="Times New Roman" w:hAnsi="Times New Roman" w:cs="Times New Roman"/>
                <w:sz w:val="24"/>
                <w:szCs w:val="24"/>
                <w:lang w:eastAsia="es-AR"/>
              </w:rPr>
              <w:t xml:space="preserve"> estuvieron más cerca del ser que los filósofos posteriores. Entre ellos y el ser no mediaba la Metafísica. Esa época juega, dentro de la concepción </w:t>
            </w:r>
            <w:r w:rsidRPr="00810431">
              <w:rPr>
                <w:rFonts w:ascii="Times New Roman" w:eastAsia="Times New Roman" w:hAnsi="Times New Roman" w:cs="Times New Roman"/>
                <w:sz w:val="24"/>
                <w:szCs w:val="24"/>
                <w:lang w:eastAsia="es-AR"/>
              </w:rPr>
              <w:lastRenderedPageBreak/>
              <w:t>heideggeriana de la historia de la Filosofía, el papel del "paraíso perdido".</w:t>
            </w:r>
          </w:p>
          <w:p w:rsidR="00810431" w:rsidRPr="00810431" w:rsidRDefault="00810431" w:rsidP="00810431">
            <w:pPr>
              <w:spacing w:before="270" w:after="180" w:line="240" w:lineRule="auto"/>
              <w:ind w:left="45" w:right="45"/>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La </w:t>
            </w:r>
            <w:r w:rsidRPr="00810431">
              <w:rPr>
                <w:rFonts w:ascii="Times New Roman" w:eastAsia="Times New Roman" w:hAnsi="Times New Roman" w:cs="Times New Roman"/>
                <w:b/>
                <w:bCs/>
                <w:sz w:val="24"/>
                <w:szCs w:val="24"/>
                <w:lang w:eastAsia="es-AR"/>
              </w:rPr>
              <w:t>Metafísica</w:t>
            </w:r>
            <w:r w:rsidRPr="00810431">
              <w:rPr>
                <w:rFonts w:ascii="Times New Roman" w:eastAsia="Times New Roman" w:hAnsi="Times New Roman" w:cs="Times New Roman"/>
                <w:sz w:val="24"/>
                <w:szCs w:val="24"/>
                <w:lang w:eastAsia="es-AR"/>
              </w:rPr>
              <w:t xml:space="preserve"> piensa al ente en cuanto ente. Pero al ente sólo se lo comprende a la luz </w:t>
            </w:r>
            <w:proofErr w:type="spellStart"/>
            <w:r w:rsidRPr="00810431">
              <w:rPr>
                <w:rFonts w:ascii="Times New Roman" w:eastAsia="Times New Roman" w:hAnsi="Times New Roman" w:cs="Times New Roman"/>
                <w:sz w:val="24"/>
                <w:szCs w:val="24"/>
                <w:lang w:eastAsia="es-AR"/>
              </w:rPr>
              <w:t>del</w:t>
            </w:r>
            <w:r w:rsidRPr="00810431">
              <w:rPr>
                <w:rFonts w:ascii="Times New Roman" w:eastAsia="Times New Roman" w:hAnsi="Times New Roman" w:cs="Times New Roman"/>
                <w:i/>
                <w:iCs/>
                <w:sz w:val="24"/>
                <w:szCs w:val="24"/>
                <w:lang w:eastAsia="es-AR"/>
              </w:rPr>
              <w:t>ser</w:t>
            </w:r>
            <w:proofErr w:type="spellEnd"/>
            <w:r w:rsidRPr="00810431">
              <w:rPr>
                <w:rFonts w:ascii="Times New Roman" w:eastAsia="Times New Roman" w:hAnsi="Times New Roman" w:cs="Times New Roman"/>
                <w:sz w:val="24"/>
                <w:szCs w:val="24"/>
                <w:lang w:eastAsia="es-AR"/>
              </w:rPr>
              <w:t> (el ente es "algo que </w:t>
            </w:r>
            <w:r w:rsidRPr="00810431">
              <w:rPr>
                <w:rFonts w:ascii="Times New Roman" w:eastAsia="Times New Roman" w:hAnsi="Times New Roman" w:cs="Times New Roman"/>
                <w:sz w:val="24"/>
                <w:szCs w:val="24"/>
                <w:u w:val="single"/>
                <w:lang w:eastAsia="es-AR"/>
              </w:rPr>
              <w:t>es</w:t>
            </w:r>
            <w:r w:rsidRPr="00810431">
              <w:rPr>
                <w:rFonts w:ascii="Times New Roman" w:eastAsia="Times New Roman" w:hAnsi="Times New Roman" w:cs="Times New Roman"/>
                <w:sz w:val="24"/>
                <w:szCs w:val="24"/>
                <w:lang w:eastAsia="es-AR"/>
              </w:rPr>
              <w:t>"). Y la Metafísica no centra su atención en ese fundamento, dejando de ese modo en la penumbra al fundamento último de la Metafísica. Este </w:t>
            </w:r>
            <w:r w:rsidRPr="00810431">
              <w:rPr>
                <w:rFonts w:ascii="Times New Roman" w:eastAsia="Times New Roman" w:hAnsi="Times New Roman" w:cs="Times New Roman"/>
                <w:b/>
                <w:bCs/>
                <w:sz w:val="24"/>
                <w:szCs w:val="24"/>
                <w:lang w:eastAsia="es-AR"/>
              </w:rPr>
              <w:t>"olvido del ser"</w:t>
            </w:r>
            <w:r w:rsidRPr="00810431">
              <w:rPr>
                <w:rFonts w:ascii="Times New Roman" w:eastAsia="Times New Roman" w:hAnsi="Times New Roman" w:cs="Times New Roman"/>
                <w:sz w:val="24"/>
                <w:szCs w:val="24"/>
                <w:lang w:eastAsia="es-AR"/>
              </w:rPr>
              <w:t> (olvido de la diferencia entre ser y ente) se encuentra, según Heidegger, en toda la historia de la Metafísica. </w:t>
            </w:r>
            <w:r w:rsidRPr="00810431">
              <w:rPr>
                <w:rFonts w:ascii="Times New Roman" w:eastAsia="Times New Roman" w:hAnsi="Times New Roman" w:cs="Times New Roman"/>
                <w:i/>
                <w:iCs/>
                <w:sz w:val="24"/>
                <w:szCs w:val="24"/>
                <w:lang w:eastAsia="es-AR"/>
              </w:rPr>
              <w:t>"En la historia del pensamiento occidental y, sin duda, desde sus mismos inicios, el ente ha sido pensado respecto del ser, pero la verdad del ser ha permanecido impensada."</w:t>
            </w:r>
          </w:p>
          <w:p w:rsidR="00810431" w:rsidRPr="00810431" w:rsidRDefault="00810431" w:rsidP="00810431">
            <w:pPr>
              <w:spacing w:after="0" w:line="240" w:lineRule="auto"/>
              <w:ind w:left="45" w:right="45"/>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En la </w:t>
            </w:r>
            <w:r w:rsidRPr="00810431">
              <w:rPr>
                <w:rFonts w:ascii="Times New Roman" w:eastAsia="Times New Roman" w:hAnsi="Times New Roman" w:cs="Times New Roman"/>
                <w:b/>
                <w:bCs/>
                <w:sz w:val="24"/>
                <w:szCs w:val="24"/>
                <w:lang w:eastAsia="es-AR"/>
              </w:rPr>
              <w:t>Metafísica Antigua y Medieval</w:t>
            </w:r>
            <w:r w:rsidRPr="00810431">
              <w:rPr>
                <w:rFonts w:ascii="Times New Roman" w:eastAsia="Times New Roman" w:hAnsi="Times New Roman" w:cs="Times New Roman"/>
                <w:sz w:val="24"/>
                <w:szCs w:val="24"/>
                <w:lang w:eastAsia="es-AR"/>
              </w:rPr>
              <w:t> el "ente supremo" determinaba al ente. Aquél podía ser el Bien de </w:t>
            </w:r>
            <w:hyperlink r:id="rId6" w:history="1">
              <w:r w:rsidRPr="00810431">
                <w:rPr>
                  <w:rFonts w:ascii="Times New Roman" w:eastAsia="Times New Roman" w:hAnsi="Times New Roman" w:cs="Times New Roman"/>
                  <w:color w:val="0000FF"/>
                  <w:sz w:val="24"/>
                  <w:szCs w:val="24"/>
                  <w:bdr w:val="none" w:sz="0" w:space="0" w:color="auto" w:frame="1"/>
                  <w:lang w:eastAsia="es-AR"/>
                </w:rPr>
                <w:t>Platón</w:t>
              </w:r>
            </w:hyperlink>
            <w:r w:rsidRPr="00810431">
              <w:rPr>
                <w:rFonts w:ascii="Times New Roman" w:eastAsia="Times New Roman" w:hAnsi="Times New Roman" w:cs="Times New Roman"/>
                <w:sz w:val="24"/>
                <w:szCs w:val="24"/>
                <w:lang w:eastAsia="es-AR"/>
              </w:rPr>
              <w:t>, el Motor Inmóvil de </w:t>
            </w:r>
            <w:hyperlink r:id="rId7" w:history="1">
              <w:r w:rsidRPr="00810431">
                <w:rPr>
                  <w:rFonts w:ascii="Times New Roman" w:eastAsia="Times New Roman" w:hAnsi="Times New Roman" w:cs="Times New Roman"/>
                  <w:color w:val="0000FF"/>
                  <w:sz w:val="24"/>
                  <w:szCs w:val="24"/>
                  <w:bdr w:val="none" w:sz="0" w:space="0" w:color="auto" w:frame="1"/>
                  <w:lang w:eastAsia="es-AR"/>
                </w:rPr>
                <w:t>Aristóteles</w:t>
              </w:r>
            </w:hyperlink>
            <w:r w:rsidRPr="00810431">
              <w:rPr>
                <w:rFonts w:ascii="Times New Roman" w:eastAsia="Times New Roman" w:hAnsi="Times New Roman" w:cs="Times New Roman"/>
                <w:sz w:val="24"/>
                <w:szCs w:val="24"/>
                <w:lang w:eastAsia="es-AR"/>
              </w:rPr>
              <w:t xml:space="preserve"> o el Dios cristiano. En cambio, en </w:t>
            </w:r>
            <w:proofErr w:type="spellStart"/>
            <w:r w:rsidRPr="00810431">
              <w:rPr>
                <w:rFonts w:ascii="Times New Roman" w:eastAsia="Times New Roman" w:hAnsi="Times New Roman" w:cs="Times New Roman"/>
                <w:sz w:val="24"/>
                <w:szCs w:val="24"/>
                <w:lang w:eastAsia="es-AR"/>
              </w:rPr>
              <w:t>la</w:t>
            </w:r>
            <w:r w:rsidRPr="00810431">
              <w:rPr>
                <w:rFonts w:ascii="Times New Roman" w:eastAsia="Times New Roman" w:hAnsi="Times New Roman" w:cs="Times New Roman"/>
                <w:b/>
                <w:bCs/>
                <w:sz w:val="24"/>
                <w:szCs w:val="24"/>
                <w:lang w:eastAsia="es-AR"/>
              </w:rPr>
              <w:t>Filosofía</w:t>
            </w:r>
            <w:proofErr w:type="spellEnd"/>
            <w:r w:rsidRPr="00810431">
              <w:rPr>
                <w:rFonts w:ascii="Times New Roman" w:eastAsia="Times New Roman" w:hAnsi="Times New Roman" w:cs="Times New Roman"/>
                <w:b/>
                <w:bCs/>
                <w:sz w:val="24"/>
                <w:szCs w:val="24"/>
                <w:lang w:eastAsia="es-AR"/>
              </w:rPr>
              <w:t xml:space="preserve"> Moderna</w:t>
            </w:r>
            <w:r w:rsidRPr="00810431">
              <w:rPr>
                <w:rFonts w:ascii="Times New Roman" w:eastAsia="Times New Roman" w:hAnsi="Times New Roman" w:cs="Times New Roman"/>
                <w:sz w:val="24"/>
                <w:szCs w:val="24"/>
                <w:lang w:eastAsia="es-AR"/>
              </w:rPr>
              <w:t> —que pone al hombre como sujeto frente al cual todo es mero objeto— el ente es pensado desde la subjetividad del sujeto.  </w:t>
            </w:r>
          </w:p>
          <w:p w:rsidR="00810431" w:rsidRPr="00810431" w:rsidRDefault="00810431" w:rsidP="00810431">
            <w:pPr>
              <w:spacing w:after="0" w:line="240" w:lineRule="auto"/>
              <w:ind w:left="45" w:right="45"/>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De </w:t>
            </w:r>
            <w:hyperlink r:id="rId8" w:history="1">
              <w:r w:rsidRPr="00810431">
                <w:rPr>
                  <w:rFonts w:ascii="Times New Roman" w:eastAsia="Times New Roman" w:hAnsi="Times New Roman" w:cs="Times New Roman"/>
                  <w:color w:val="0000FF"/>
                  <w:sz w:val="24"/>
                  <w:szCs w:val="24"/>
                  <w:bdr w:val="none" w:sz="0" w:space="0" w:color="auto" w:frame="1"/>
                  <w:lang w:eastAsia="es-AR"/>
                </w:rPr>
                <w:t>Descartes</w:t>
              </w:r>
            </w:hyperlink>
            <w:r w:rsidRPr="00810431">
              <w:rPr>
                <w:rFonts w:ascii="Times New Roman" w:eastAsia="Times New Roman" w:hAnsi="Times New Roman" w:cs="Times New Roman"/>
                <w:sz w:val="24"/>
                <w:szCs w:val="24"/>
                <w:lang w:eastAsia="es-AR"/>
              </w:rPr>
              <w:t> a </w:t>
            </w:r>
            <w:hyperlink r:id="rId9" w:history="1">
              <w:r w:rsidRPr="00810431">
                <w:rPr>
                  <w:rFonts w:ascii="Times New Roman" w:eastAsia="Times New Roman" w:hAnsi="Times New Roman" w:cs="Times New Roman"/>
                  <w:color w:val="0000FF"/>
                  <w:sz w:val="24"/>
                  <w:szCs w:val="24"/>
                  <w:bdr w:val="none" w:sz="0" w:space="0" w:color="auto" w:frame="1"/>
                  <w:lang w:eastAsia="es-AR"/>
                </w:rPr>
                <w:t>Hegel</w:t>
              </w:r>
            </w:hyperlink>
            <w:r w:rsidRPr="00810431">
              <w:rPr>
                <w:rFonts w:ascii="Times New Roman" w:eastAsia="Times New Roman" w:hAnsi="Times New Roman" w:cs="Times New Roman"/>
                <w:sz w:val="24"/>
                <w:szCs w:val="24"/>
                <w:lang w:eastAsia="es-AR"/>
              </w:rPr>
              <w:t> y </w:t>
            </w:r>
            <w:hyperlink r:id="rId10" w:history="1">
              <w:r w:rsidRPr="00810431">
                <w:rPr>
                  <w:rFonts w:ascii="Times New Roman" w:eastAsia="Times New Roman" w:hAnsi="Times New Roman" w:cs="Times New Roman"/>
                  <w:color w:val="0000FF"/>
                  <w:sz w:val="24"/>
                  <w:szCs w:val="24"/>
                  <w:bdr w:val="none" w:sz="0" w:space="0" w:color="auto" w:frame="1"/>
                  <w:lang w:eastAsia="es-AR"/>
                </w:rPr>
                <w:t>Nietzsche</w:t>
              </w:r>
            </w:hyperlink>
            <w:r w:rsidRPr="00810431">
              <w:rPr>
                <w:rFonts w:ascii="Times New Roman" w:eastAsia="Times New Roman" w:hAnsi="Times New Roman" w:cs="Times New Roman"/>
                <w:sz w:val="24"/>
                <w:szCs w:val="24"/>
                <w:lang w:eastAsia="es-AR"/>
              </w:rPr>
              <w:t>, pasando por </w:t>
            </w:r>
            <w:hyperlink r:id="rId11" w:history="1">
              <w:r w:rsidRPr="00810431">
                <w:rPr>
                  <w:rFonts w:ascii="Times New Roman" w:eastAsia="Times New Roman" w:hAnsi="Times New Roman" w:cs="Times New Roman"/>
                  <w:color w:val="0000FF"/>
                  <w:sz w:val="24"/>
                  <w:szCs w:val="24"/>
                  <w:bdr w:val="none" w:sz="0" w:space="0" w:color="auto" w:frame="1"/>
                  <w:lang w:eastAsia="es-AR"/>
                </w:rPr>
                <w:t>Kant</w:t>
              </w:r>
            </w:hyperlink>
            <w:r w:rsidRPr="00810431">
              <w:rPr>
                <w:rFonts w:ascii="Times New Roman" w:eastAsia="Times New Roman" w:hAnsi="Times New Roman" w:cs="Times New Roman"/>
                <w:sz w:val="24"/>
                <w:szCs w:val="24"/>
                <w:lang w:eastAsia="es-AR"/>
              </w:rPr>
              <w:t>, la Filosofía pasa de la afirmación de una subjetividad condicionada a la de una subjetividad desencadenada. Con </w:t>
            </w:r>
            <w:r w:rsidRPr="00810431">
              <w:rPr>
                <w:rFonts w:ascii="Times New Roman" w:eastAsia="Times New Roman" w:hAnsi="Times New Roman" w:cs="Times New Roman"/>
                <w:b/>
                <w:bCs/>
                <w:sz w:val="24"/>
                <w:szCs w:val="24"/>
                <w:lang w:eastAsia="es-AR"/>
              </w:rPr>
              <w:t>Descartes </w:t>
            </w:r>
            <w:r w:rsidRPr="00810431">
              <w:rPr>
                <w:rFonts w:ascii="Times New Roman" w:eastAsia="Times New Roman" w:hAnsi="Times New Roman" w:cs="Times New Roman"/>
                <w:sz w:val="24"/>
                <w:szCs w:val="24"/>
                <w:lang w:eastAsia="es-AR"/>
              </w:rPr>
              <w:t>la substancia deja de ser el fundamento de la verdad y su lugar es ocupado por el sujeto. </w:t>
            </w:r>
            <w:proofErr w:type="spellStart"/>
            <w:r w:rsidRPr="00810431">
              <w:rPr>
                <w:rFonts w:ascii="Times New Roman" w:eastAsia="Times New Roman" w:hAnsi="Times New Roman" w:cs="Times New Roman"/>
                <w:b/>
                <w:bCs/>
                <w:sz w:val="24"/>
                <w:szCs w:val="24"/>
                <w:lang w:eastAsia="es-AR"/>
              </w:rPr>
              <w:t>Hegel</w:t>
            </w:r>
            <w:r w:rsidRPr="00810431">
              <w:rPr>
                <w:rFonts w:ascii="Times New Roman" w:eastAsia="Times New Roman" w:hAnsi="Times New Roman" w:cs="Times New Roman"/>
                <w:sz w:val="24"/>
                <w:szCs w:val="24"/>
                <w:lang w:eastAsia="es-AR"/>
              </w:rPr>
              <w:t>traspasa</w:t>
            </w:r>
            <w:proofErr w:type="spellEnd"/>
            <w:r w:rsidRPr="00810431">
              <w:rPr>
                <w:rFonts w:ascii="Times New Roman" w:eastAsia="Times New Roman" w:hAnsi="Times New Roman" w:cs="Times New Roman"/>
                <w:sz w:val="24"/>
                <w:szCs w:val="24"/>
                <w:lang w:eastAsia="es-AR"/>
              </w:rPr>
              <w:t xml:space="preserve"> los límites que Kant había puesto a la subjetividad humana y transforma el </w:t>
            </w:r>
            <w:r w:rsidRPr="00810431">
              <w:rPr>
                <w:rFonts w:ascii="Times New Roman" w:eastAsia="Times New Roman" w:hAnsi="Times New Roman" w:cs="Times New Roman"/>
                <w:i/>
                <w:iCs/>
                <w:sz w:val="24"/>
                <w:szCs w:val="24"/>
                <w:lang w:eastAsia="es-AR"/>
              </w:rPr>
              <w:t>ego cogito </w:t>
            </w:r>
            <w:r w:rsidRPr="00810431">
              <w:rPr>
                <w:rFonts w:ascii="Times New Roman" w:eastAsia="Times New Roman" w:hAnsi="Times New Roman" w:cs="Times New Roman"/>
                <w:sz w:val="24"/>
                <w:szCs w:val="24"/>
                <w:lang w:eastAsia="es-AR"/>
              </w:rPr>
              <w:t>cartesiano en su "sujeto absoluto". Con </w:t>
            </w:r>
            <w:r w:rsidRPr="00810431">
              <w:rPr>
                <w:rFonts w:ascii="Times New Roman" w:eastAsia="Times New Roman" w:hAnsi="Times New Roman" w:cs="Times New Roman"/>
                <w:b/>
                <w:bCs/>
                <w:sz w:val="24"/>
                <w:szCs w:val="24"/>
                <w:lang w:eastAsia="es-AR"/>
              </w:rPr>
              <w:t>Nietzsche</w:t>
            </w:r>
            <w:r w:rsidRPr="00810431">
              <w:rPr>
                <w:rFonts w:ascii="Times New Roman" w:eastAsia="Times New Roman" w:hAnsi="Times New Roman" w:cs="Times New Roman"/>
                <w:sz w:val="24"/>
                <w:szCs w:val="24"/>
                <w:lang w:eastAsia="es-AR"/>
              </w:rPr>
              <w:t> la subjetividad se desencadena de otro modo. El sujeto destrona al Dios cristiano, a su Metafísica y a su Moral, y logra de este modo una libertad absoluta para encarar la tarea de dar él mismo sentido y valor a las cosas. Ambos, Hegel y Nietzsche, llevan la filosofía de la subjetividad a su máximo grado de desarrollo.</w:t>
            </w:r>
          </w:p>
          <w:p w:rsidR="00810431" w:rsidRPr="00810431" w:rsidRDefault="00810431" w:rsidP="00810431">
            <w:pPr>
              <w:spacing w:before="270" w:after="180" w:line="240" w:lineRule="auto"/>
              <w:ind w:left="45" w:right="45"/>
              <w:rPr>
                <w:rFonts w:ascii="Times New Roman" w:eastAsia="Times New Roman" w:hAnsi="Times New Roman" w:cs="Times New Roman"/>
                <w:sz w:val="24"/>
                <w:szCs w:val="24"/>
                <w:lang w:eastAsia="es-AR"/>
              </w:rPr>
            </w:pPr>
            <w:r w:rsidRPr="00810431">
              <w:rPr>
                <w:rFonts w:ascii="Times New Roman" w:eastAsia="Times New Roman" w:hAnsi="Times New Roman" w:cs="Times New Roman"/>
                <w:sz w:val="24"/>
                <w:szCs w:val="24"/>
                <w:lang w:eastAsia="es-AR"/>
              </w:rPr>
              <w:t>Lo que sobreviene no es sino la consecuencia de lo anterior. El olvido del ser nos ha llevado hasta aquí. La </w:t>
            </w:r>
            <w:r w:rsidRPr="00810431">
              <w:rPr>
                <w:rFonts w:ascii="Times New Roman" w:eastAsia="Times New Roman" w:hAnsi="Times New Roman" w:cs="Times New Roman"/>
                <w:b/>
                <w:bCs/>
                <w:sz w:val="24"/>
                <w:szCs w:val="24"/>
                <w:lang w:eastAsia="es-AR"/>
              </w:rPr>
              <w:t>tecnocracia</w:t>
            </w:r>
            <w:r w:rsidRPr="00810431">
              <w:rPr>
                <w:rFonts w:ascii="Times New Roman" w:eastAsia="Times New Roman" w:hAnsi="Times New Roman" w:cs="Times New Roman"/>
                <w:sz w:val="24"/>
                <w:szCs w:val="24"/>
                <w:lang w:eastAsia="es-AR"/>
              </w:rPr>
              <w:t> y el </w:t>
            </w:r>
            <w:r w:rsidRPr="00810431">
              <w:rPr>
                <w:rFonts w:ascii="Times New Roman" w:eastAsia="Times New Roman" w:hAnsi="Times New Roman" w:cs="Times New Roman"/>
                <w:b/>
                <w:bCs/>
                <w:sz w:val="24"/>
                <w:szCs w:val="24"/>
                <w:lang w:eastAsia="es-AR"/>
              </w:rPr>
              <w:t>nihilismo</w:t>
            </w:r>
            <w:r w:rsidRPr="00810431">
              <w:rPr>
                <w:rFonts w:ascii="Times New Roman" w:eastAsia="Times New Roman" w:hAnsi="Times New Roman" w:cs="Times New Roman"/>
                <w:sz w:val="24"/>
                <w:szCs w:val="24"/>
                <w:lang w:eastAsia="es-AR"/>
              </w:rPr>
              <w:t> son la expresión de la subjetividad desencadenada y de la </w:t>
            </w:r>
            <w:r w:rsidRPr="00810431">
              <w:rPr>
                <w:rFonts w:ascii="Times New Roman" w:eastAsia="Times New Roman" w:hAnsi="Times New Roman" w:cs="Times New Roman"/>
                <w:b/>
                <w:bCs/>
                <w:sz w:val="24"/>
                <w:szCs w:val="24"/>
                <w:lang w:eastAsia="es-AR"/>
              </w:rPr>
              <w:t>muerte de la Metafísica</w:t>
            </w:r>
            <w:r w:rsidRPr="00810431">
              <w:rPr>
                <w:rFonts w:ascii="Times New Roman" w:eastAsia="Times New Roman" w:hAnsi="Times New Roman" w:cs="Times New Roman"/>
                <w:sz w:val="24"/>
                <w:szCs w:val="24"/>
                <w:lang w:eastAsia="es-AR"/>
              </w:rPr>
              <w:t>. El hombre trata de llenar el vacío que generó el olvido del ser con la fabricación en serie, la ininterrumpida producción técnica. El Universo se ha reducido al mero </w:t>
            </w:r>
            <w:r w:rsidRPr="00810431">
              <w:rPr>
                <w:rFonts w:ascii="Times New Roman" w:eastAsia="Times New Roman" w:hAnsi="Times New Roman" w:cs="Times New Roman"/>
                <w:i/>
                <w:iCs/>
                <w:sz w:val="24"/>
                <w:szCs w:val="24"/>
                <w:lang w:eastAsia="es-AR"/>
              </w:rPr>
              <w:t>stock</w:t>
            </w:r>
            <w:r w:rsidRPr="00810431">
              <w:rPr>
                <w:rFonts w:ascii="Times New Roman" w:eastAsia="Times New Roman" w:hAnsi="Times New Roman" w:cs="Times New Roman"/>
                <w:sz w:val="24"/>
                <w:szCs w:val="24"/>
                <w:lang w:eastAsia="es-AR"/>
              </w:rPr>
              <w:t xml:space="preserve"> de materias primas. La Técnica nos ha permitido dominar el mundo pero el precio que hemos debido pagar para ello ha sido muy grande: ocultar nuestro ser y alterar nuestra relación con las cosas. El nihilismo es la consecuencia del "desmoronamiento del mundo suprasensible", llamado por Nietzsche la "muerte de Dios". Heidegger entiende que este desmoronamiento también tiene su </w:t>
            </w:r>
            <w:proofErr w:type="spellStart"/>
            <w:r w:rsidRPr="00810431">
              <w:rPr>
                <w:rFonts w:ascii="Times New Roman" w:eastAsia="Times New Roman" w:hAnsi="Times New Roman" w:cs="Times New Roman"/>
                <w:sz w:val="24"/>
                <w:szCs w:val="24"/>
                <w:lang w:eastAsia="es-AR"/>
              </w:rPr>
              <w:t>raiz</w:t>
            </w:r>
            <w:proofErr w:type="spellEnd"/>
            <w:r w:rsidRPr="00810431">
              <w:rPr>
                <w:rFonts w:ascii="Times New Roman" w:eastAsia="Times New Roman" w:hAnsi="Times New Roman" w:cs="Times New Roman"/>
                <w:sz w:val="24"/>
                <w:szCs w:val="24"/>
                <w:lang w:eastAsia="es-AR"/>
              </w:rPr>
              <w:t xml:space="preserve"> en el "olvido del ser"</w:t>
            </w:r>
          </w:p>
        </w:tc>
      </w:tr>
    </w:tbl>
    <w:p w:rsidR="004073CD" w:rsidRDefault="004073CD"/>
    <w:sectPr w:rsidR="004073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8E"/>
    <w:rsid w:val="0037438E"/>
    <w:rsid w:val="004073CD"/>
    <w:rsid w:val="00810431"/>
    <w:rsid w:val="00A507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1D34"/>
  <w15:docId w15:val="{E8C0678A-DE14-4992-851F-4925FDB1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104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810431"/>
  </w:style>
  <w:style w:type="character" w:styleId="Hipervnculo">
    <w:name w:val="Hyperlink"/>
    <w:basedOn w:val="Fuentedeprrafopredeter"/>
    <w:uiPriority w:val="99"/>
    <w:semiHidden/>
    <w:unhideWhenUsed/>
    <w:rsid w:val="00810431"/>
    <w:rPr>
      <w:color w:val="0000FF"/>
      <w:u w:val="single"/>
    </w:rPr>
  </w:style>
  <w:style w:type="paragraph" w:styleId="Textodeglobo">
    <w:name w:val="Balloon Text"/>
    <w:basedOn w:val="Normal"/>
    <w:link w:val="TextodegloboCar"/>
    <w:uiPriority w:val="99"/>
    <w:semiHidden/>
    <w:unhideWhenUsed/>
    <w:rsid w:val="008104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venticus.org/articulos/02A036/descart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uventicus.org/articulos/02A034/aristotele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venticus.org/articulos/02A034/platon.html" TargetMode="External"/><Relationship Id="rId11" Type="http://schemas.openxmlformats.org/officeDocument/2006/relationships/hyperlink" Target="http://www.luventicus.org/articulos/02A036/kant.html" TargetMode="External"/><Relationship Id="rId5" Type="http://schemas.openxmlformats.org/officeDocument/2006/relationships/image" Target="media/image1.gif"/><Relationship Id="rId10" Type="http://schemas.openxmlformats.org/officeDocument/2006/relationships/hyperlink" Target="http://www.luventicus.org/articulos/02A027/nietzsche.html" TargetMode="External"/><Relationship Id="rId4" Type="http://schemas.openxmlformats.org/officeDocument/2006/relationships/hyperlink" Target="http://www.luventicus.org/articulos/02A027/heidegger.html" TargetMode="External"/><Relationship Id="rId9" Type="http://schemas.openxmlformats.org/officeDocument/2006/relationships/hyperlink" Target="http://www.luventicus.org/articulos/02A036/hege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3774</Characters>
  <Application>Microsoft Office Word</Application>
  <DocSecurity>0</DocSecurity>
  <Lines>31</Lines>
  <Paragraphs>8</Paragraphs>
  <ScaleCrop>false</ScaleCrop>
  <Company>GP</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dc:creator>
  <cp:keywords/>
  <dc:description/>
  <cp:lastModifiedBy>silvio avelino maciel</cp:lastModifiedBy>
  <cp:revision>3</cp:revision>
  <dcterms:created xsi:type="dcterms:W3CDTF">2016-05-29T15:06:00Z</dcterms:created>
  <dcterms:modified xsi:type="dcterms:W3CDTF">2021-10-16T11:52:00Z</dcterms:modified>
</cp:coreProperties>
</file>