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596" w:rsidRDefault="009C7596" w:rsidP="009C7596">
      <w:pPr>
        <w:ind w:left="-1080" w:right="-1036"/>
        <w:jc w:val="center"/>
        <w:rPr>
          <w:b/>
          <w:bCs/>
          <w:sz w:val="28"/>
          <w:u w:val="single"/>
          <w:lang w:val="es-ES_tradnl"/>
        </w:rPr>
      </w:pPr>
      <w:r>
        <w:rPr>
          <w:b/>
          <w:bCs/>
          <w:sz w:val="28"/>
          <w:u w:val="single"/>
          <w:lang w:val="es-ES_tradnl"/>
        </w:rPr>
        <w:t>TOMÁS DE AQUINO ( 1224/1274)</w:t>
      </w:r>
    </w:p>
    <w:p w:rsidR="009C7596" w:rsidRDefault="009C7596" w:rsidP="009C7596">
      <w:pPr>
        <w:ind w:left="-1080" w:right="-1036"/>
        <w:jc w:val="both"/>
        <w:rPr>
          <w:b/>
          <w:bCs/>
          <w:sz w:val="28"/>
          <w:lang w:val="es-ES_tradnl"/>
        </w:rPr>
      </w:pPr>
      <w:r>
        <w:rPr>
          <w:b/>
          <w:bCs/>
          <w:sz w:val="28"/>
          <w:lang w:val="es-ES_tradnl"/>
        </w:rPr>
        <w:t>Nacion en el castillo de Roccasseca al sur de Roma camino a Nápoles.</w:t>
      </w:r>
    </w:p>
    <w:p w:rsidR="009C7596" w:rsidRDefault="009C7596" w:rsidP="009C7596">
      <w:pPr>
        <w:ind w:left="-1080" w:right="-1036"/>
        <w:jc w:val="both"/>
        <w:rPr>
          <w:b/>
          <w:bCs/>
          <w:sz w:val="28"/>
          <w:lang w:val="es-ES_tradnl"/>
        </w:rPr>
      </w:pPr>
      <w:r>
        <w:rPr>
          <w:b/>
          <w:bCs/>
          <w:sz w:val="28"/>
          <w:lang w:val="es-ES_tradnl"/>
        </w:rPr>
        <w:t>A los 5 años estudio en</w:t>
      </w:r>
      <w:r>
        <w:rPr>
          <w:rStyle w:val="Refdenotaalpie"/>
          <w:b/>
          <w:bCs/>
        </w:rPr>
        <w:footnoteReference w:id="1"/>
      </w:r>
      <w:r>
        <w:rPr>
          <w:b/>
          <w:bCs/>
          <w:sz w:val="28"/>
          <w:lang w:val="es-ES_tradnl"/>
        </w:rPr>
        <w:t xml:space="preserve"> la Abadía de Montecassino </w:t>
      </w:r>
    </w:p>
    <w:p w:rsidR="009C7596" w:rsidRDefault="009C7596" w:rsidP="009C7596">
      <w:pPr>
        <w:ind w:left="-1080" w:right="-1036"/>
        <w:jc w:val="both"/>
        <w:rPr>
          <w:b/>
          <w:bCs/>
          <w:sz w:val="28"/>
          <w:lang w:val="es-ES_tradnl"/>
        </w:rPr>
      </w:pPr>
      <w:r>
        <w:rPr>
          <w:b/>
          <w:bCs/>
          <w:sz w:val="28"/>
          <w:lang w:val="es-ES_tradnl"/>
        </w:rPr>
        <w:t>A los 14 años entro en la Universidad de Nápoles, donde permaneció 5 años</w:t>
      </w:r>
    </w:p>
    <w:p w:rsidR="009C7596" w:rsidRDefault="009C7596" w:rsidP="009C7596">
      <w:pPr>
        <w:ind w:left="-1080" w:right="-1036"/>
        <w:jc w:val="both"/>
        <w:rPr>
          <w:b/>
          <w:bCs/>
          <w:sz w:val="28"/>
          <w:lang w:val="es-ES_tradnl"/>
        </w:rPr>
      </w:pPr>
      <w:r>
        <w:rPr>
          <w:b/>
          <w:bCs/>
          <w:sz w:val="28"/>
          <w:lang w:val="es-ES_tradnl"/>
        </w:rPr>
        <w:t>A los 19 años entro a la orden de los dominicios y estudío luego en la Univesidad de París.  Conoció a Alberto Magno con quien fue enviado a Colonia ( Alemania) donde es ordenado sacerdote.</w:t>
      </w:r>
    </w:p>
    <w:p w:rsidR="009C7596" w:rsidRDefault="009C7596" w:rsidP="009C7596">
      <w:pPr>
        <w:pStyle w:val="Textodebloque"/>
      </w:pPr>
      <w:r>
        <w:t>En el 1252 comenzo a enseñar ( LEER) en el convento de Saint Jacques de París. En esta época escribió (Comentario al libro  de las sentencias) y De ente et essentia y de Principiis naturae.</w:t>
      </w:r>
    </w:p>
    <w:p w:rsidR="009C7596" w:rsidRDefault="009C7596" w:rsidP="009C7596">
      <w:pPr>
        <w:ind w:left="-1080" w:right="-1036"/>
        <w:jc w:val="both"/>
        <w:rPr>
          <w:b/>
          <w:bCs/>
          <w:sz w:val="28"/>
          <w:lang w:val="es-ES_tradnl"/>
        </w:rPr>
      </w:pPr>
      <w:r>
        <w:rPr>
          <w:b/>
          <w:bCs/>
          <w:sz w:val="28"/>
          <w:lang w:val="es-ES_tradnl"/>
        </w:rPr>
        <w:t xml:space="preserve">Como magister comenzó a enseñar la Biblia. </w:t>
      </w:r>
    </w:p>
    <w:p w:rsidR="009C7596" w:rsidRDefault="009C7596" w:rsidP="009C7596">
      <w:pPr>
        <w:ind w:left="-1080" w:right="-1036"/>
        <w:jc w:val="both"/>
        <w:rPr>
          <w:b/>
          <w:bCs/>
          <w:sz w:val="28"/>
          <w:lang w:val="es-ES_tradnl"/>
        </w:rPr>
      </w:pPr>
      <w:r>
        <w:rPr>
          <w:b/>
          <w:bCs/>
          <w:sz w:val="28"/>
          <w:lang w:val="es-ES_tradnl"/>
        </w:rPr>
        <w:t>Entre 1256-1259 disputó las cuestiones De veritate y algunos Quodlibet</w:t>
      </w:r>
    </w:p>
    <w:p w:rsidR="009C7596" w:rsidRDefault="009C7596" w:rsidP="009C7596">
      <w:pPr>
        <w:ind w:left="-1080" w:right="-1036"/>
        <w:jc w:val="both"/>
        <w:rPr>
          <w:b/>
          <w:bCs/>
          <w:sz w:val="28"/>
          <w:lang w:val="es-ES_tradnl"/>
        </w:rPr>
      </w:pPr>
      <w:r>
        <w:rPr>
          <w:b/>
          <w:bCs/>
          <w:sz w:val="28"/>
          <w:lang w:val="es-ES_tradnl"/>
        </w:rPr>
        <w:t>Volvio a Italia siendo lector y predicador en Orvieto, Perugia Viterbo.</w:t>
      </w:r>
    </w:p>
    <w:p w:rsidR="009C7596" w:rsidRDefault="009C7596" w:rsidP="009C7596">
      <w:pPr>
        <w:ind w:left="-1080" w:right="-1036"/>
        <w:jc w:val="both"/>
        <w:rPr>
          <w:b/>
          <w:bCs/>
          <w:sz w:val="28"/>
          <w:lang w:val="es-ES_tradnl"/>
        </w:rPr>
      </w:pPr>
      <w:r>
        <w:rPr>
          <w:b/>
          <w:bCs/>
          <w:sz w:val="28"/>
          <w:lang w:val="es-ES_tradnl"/>
        </w:rPr>
        <w:t>Con Moerbeke, Guillermo colaboro en la traducción de las obras de Aristoteles.</w:t>
      </w:r>
    </w:p>
    <w:p w:rsidR="009C7596" w:rsidRDefault="009C7596" w:rsidP="009C7596">
      <w:pPr>
        <w:ind w:left="-1080" w:right="-1036"/>
        <w:jc w:val="both"/>
        <w:rPr>
          <w:b/>
          <w:bCs/>
          <w:sz w:val="28"/>
          <w:lang w:val="es-ES_tradnl"/>
        </w:rPr>
      </w:pPr>
      <w:r>
        <w:rPr>
          <w:b/>
          <w:bCs/>
          <w:sz w:val="28"/>
          <w:lang w:val="es-ES_tradnl"/>
        </w:rPr>
        <w:t>A los 40 años fue a Roma un par de años y luego fue a Viterbo.</w:t>
      </w:r>
    </w:p>
    <w:p w:rsidR="009C7596" w:rsidRDefault="009C7596" w:rsidP="009C7596">
      <w:pPr>
        <w:ind w:left="-1080" w:right="-1036"/>
        <w:jc w:val="both"/>
        <w:rPr>
          <w:b/>
          <w:bCs/>
          <w:sz w:val="28"/>
          <w:lang w:val="es-ES_tradnl"/>
        </w:rPr>
      </w:pPr>
      <w:r>
        <w:rPr>
          <w:b/>
          <w:bCs/>
          <w:sz w:val="28"/>
          <w:lang w:val="es-ES_tradnl"/>
        </w:rPr>
        <w:t xml:space="preserve">Escribió De regimine principium, el De potentia y el De Malo. Un comentario a los cuatro evangelios ( catena aurea) y la Primera parte de la Summa Theologiae (1266-1268) </w:t>
      </w:r>
    </w:p>
    <w:p w:rsidR="009C7596" w:rsidRDefault="009C7596" w:rsidP="009C7596">
      <w:pPr>
        <w:ind w:left="-1080" w:right="-1036"/>
        <w:jc w:val="both"/>
        <w:rPr>
          <w:b/>
          <w:bCs/>
          <w:sz w:val="28"/>
          <w:lang w:val="es-ES_tradnl"/>
        </w:rPr>
      </w:pPr>
      <w:r>
        <w:rPr>
          <w:b/>
          <w:bCs/>
          <w:sz w:val="28"/>
          <w:lang w:val="es-ES_tradnl"/>
        </w:rPr>
        <w:t xml:space="preserve">1267-1272 Segunda Regencia en París. </w:t>
      </w:r>
    </w:p>
    <w:p w:rsidR="009C7596" w:rsidRDefault="009C7596" w:rsidP="009C7596">
      <w:pPr>
        <w:ind w:left="-1080" w:right="-1036"/>
        <w:jc w:val="both"/>
        <w:rPr>
          <w:b/>
          <w:bCs/>
          <w:sz w:val="28"/>
          <w:lang w:val="es-ES_tradnl"/>
        </w:rPr>
      </w:pPr>
      <w:r>
        <w:rPr>
          <w:b/>
          <w:bCs/>
          <w:sz w:val="28"/>
          <w:lang w:val="es-ES_tradnl"/>
        </w:rPr>
        <w:t>Tiene 44 años y es el de su mayor producción intelectual, dormía poco y se dedicaba a, escribir, ditar, enseñar y rezar.</w:t>
      </w:r>
    </w:p>
    <w:p w:rsidR="009C7596" w:rsidRDefault="009C7596" w:rsidP="009C7596">
      <w:pPr>
        <w:ind w:left="-1080" w:right="-1036"/>
        <w:jc w:val="both"/>
        <w:rPr>
          <w:b/>
          <w:bCs/>
          <w:sz w:val="28"/>
          <w:lang w:val="es-ES_tradnl"/>
        </w:rPr>
      </w:pPr>
      <w:r>
        <w:rPr>
          <w:b/>
          <w:bCs/>
          <w:sz w:val="28"/>
          <w:lang w:val="es-ES_tradnl"/>
        </w:rPr>
        <w:t xml:space="preserve">Hacia el 1270 inicia la 2º parte de la Summa Theologicae, en la que muestra gran comprensión de las cosas humanas y su contribución más original al pensamiento medieval. Disputa contra el averroísmo latino de ( Siger de Bravante).De este período son la mayoría de los comentarios a las obras de Aristóteles: </w:t>
      </w:r>
    </w:p>
    <w:p w:rsidR="009C7596" w:rsidRDefault="009C7596" w:rsidP="009C7596">
      <w:pPr>
        <w:ind w:left="-1080" w:right="-1036"/>
        <w:jc w:val="both"/>
        <w:rPr>
          <w:b/>
          <w:bCs/>
          <w:sz w:val="28"/>
          <w:lang w:val="es-ES_tradnl"/>
        </w:rPr>
      </w:pPr>
    </w:p>
    <w:p w:rsidR="009C7596" w:rsidRDefault="009C7596" w:rsidP="009C7596">
      <w:pPr>
        <w:ind w:left="-1080" w:right="-1036"/>
        <w:jc w:val="both"/>
        <w:rPr>
          <w:b/>
          <w:bCs/>
          <w:sz w:val="28"/>
          <w:lang w:val="es-ES_tradnl"/>
        </w:rPr>
      </w:pPr>
      <w:r>
        <w:rPr>
          <w:b/>
          <w:bCs/>
          <w:sz w:val="28"/>
          <w:lang w:val="es-ES_tradnl"/>
        </w:rPr>
        <w:t>Sentencia super Physicam, Sentencia super Metaphysicam y Sentencia libri Ethicorum.</w:t>
      </w:r>
    </w:p>
    <w:p w:rsidR="009C7596" w:rsidRDefault="009C7596" w:rsidP="009C7596">
      <w:pPr>
        <w:pStyle w:val="Textodebloque"/>
      </w:pPr>
      <w:r>
        <w:t>En N´poles con su secretario Reginaldo de piperno escribió la 3ª parte de la Summa Theologicae.</w:t>
      </w:r>
    </w:p>
    <w:p w:rsidR="009C7596" w:rsidRDefault="009C7596" w:rsidP="009C7596">
      <w:pPr>
        <w:ind w:left="-1080" w:right="-1036"/>
        <w:jc w:val="both"/>
        <w:rPr>
          <w:b/>
          <w:bCs/>
          <w:sz w:val="28"/>
          <w:lang w:val="es-ES_tradnl"/>
        </w:rPr>
      </w:pPr>
      <w:r>
        <w:rPr>
          <w:b/>
          <w:bCs/>
          <w:sz w:val="28"/>
          <w:lang w:val="es-ES_tradnl"/>
        </w:rPr>
        <w:t>n el 1272 en la misa algo le paso, luego ya no escribió más, ( “Reginaldo, ya no puedo, porque todo lo que he escrito me parece paja”).</w:t>
      </w:r>
    </w:p>
    <w:p w:rsidR="009C7596" w:rsidRDefault="009C7596" w:rsidP="009C7596">
      <w:pPr>
        <w:ind w:left="-1080" w:right="-1036"/>
        <w:jc w:val="both"/>
        <w:rPr>
          <w:b/>
          <w:bCs/>
          <w:sz w:val="28"/>
          <w:lang w:val="es-ES_tradnl"/>
        </w:rPr>
      </w:pPr>
      <w:r>
        <w:rPr>
          <w:b/>
          <w:bCs/>
          <w:sz w:val="28"/>
          <w:lang w:val="es-ES_tradnl"/>
        </w:rPr>
        <w:t>Volviendo de un viaje a San Severino, donde había ido a visitar  a una hermana, se sintíó mal y pidió  ser llevado a la abadía de Fossanova. Al entrar musito el salmo 131,14 “Estará sera siempre mi mansión, aquí habitare por que la he elegido”, murió allí algunos dís después. ( 07/03/1273). Fue santificado 1323.</w:t>
      </w:r>
    </w:p>
    <w:p w:rsidR="009C7596" w:rsidRDefault="009C7596" w:rsidP="009C7596">
      <w:pPr>
        <w:ind w:left="-1080" w:right="-1036"/>
        <w:jc w:val="both"/>
        <w:rPr>
          <w:b/>
          <w:bCs/>
          <w:lang w:val="es-ES_tradnl"/>
        </w:rPr>
      </w:pPr>
    </w:p>
    <w:p w:rsidR="009C7596" w:rsidRDefault="009C7596" w:rsidP="009C7596">
      <w:pPr>
        <w:ind w:left="-1080" w:right="-1036"/>
        <w:jc w:val="both"/>
        <w:rPr>
          <w:b/>
          <w:bCs/>
          <w:lang w:val="es-ES_tradnl"/>
        </w:rPr>
      </w:pPr>
    </w:p>
    <w:p w:rsidR="009C7596" w:rsidRDefault="009C7596" w:rsidP="009C7596">
      <w:pPr>
        <w:pStyle w:val="Textonotapie"/>
        <w:rPr>
          <w:sz w:val="24"/>
        </w:rPr>
      </w:pPr>
    </w:p>
    <w:p w:rsidR="009C7596" w:rsidRDefault="009C7596" w:rsidP="009C7596">
      <w:pPr>
        <w:pStyle w:val="Ttulo1"/>
        <w:rPr>
          <w:sz w:val="28"/>
          <w:u w:val="none"/>
        </w:rPr>
      </w:pPr>
      <w:r>
        <w:rPr>
          <w:sz w:val="28"/>
        </w:rPr>
        <w:lastRenderedPageBreak/>
        <w:t>OBRA</w:t>
      </w:r>
    </w:p>
    <w:p w:rsidR="009C7596" w:rsidRDefault="009C7596" w:rsidP="009C7596">
      <w:pPr>
        <w:ind w:left="-1080"/>
        <w:jc w:val="both"/>
        <w:rPr>
          <w:b/>
          <w:bCs/>
          <w:sz w:val="28"/>
          <w:lang w:val="es-ES_tradnl"/>
        </w:rPr>
      </w:pPr>
      <w:r>
        <w:rPr>
          <w:b/>
          <w:bCs/>
          <w:sz w:val="28"/>
          <w:lang w:val="es-ES_tradnl"/>
        </w:rPr>
        <w:t>Su obra es inmensa. Más de 20 mil páginas.</w:t>
      </w:r>
    </w:p>
    <w:p w:rsidR="009C7596" w:rsidRDefault="009C7596" w:rsidP="009C7596">
      <w:pPr>
        <w:pStyle w:val="Sangradetextonormal"/>
      </w:pPr>
      <w:r>
        <w:t>Por su interés filosófico se destacan: los comentarios a Aristóteles, las dos Sumas: La summa contra los gentiles, y la Summa Theologiae.</w:t>
      </w:r>
    </w:p>
    <w:p w:rsidR="009C7596" w:rsidRDefault="009C7596" w:rsidP="009C7596">
      <w:pPr>
        <w:ind w:left="-1080"/>
        <w:jc w:val="both"/>
        <w:rPr>
          <w:b/>
          <w:bCs/>
          <w:sz w:val="28"/>
          <w:lang w:val="es-ES_tradnl"/>
        </w:rPr>
      </w:pPr>
      <w:r>
        <w:rPr>
          <w:b/>
          <w:bCs/>
          <w:sz w:val="28"/>
          <w:lang w:val="es-ES_tradnl"/>
        </w:rPr>
        <w:t>La summa contra los gentiles esta dividida en cuatro libros:</w:t>
      </w:r>
    </w:p>
    <w:p w:rsidR="009C7596" w:rsidRDefault="009C7596" w:rsidP="009C7596">
      <w:pPr>
        <w:ind w:left="-1080" w:firstLine="1080"/>
        <w:jc w:val="both"/>
        <w:rPr>
          <w:b/>
          <w:bCs/>
          <w:sz w:val="28"/>
          <w:lang w:val="es-ES_tradnl"/>
        </w:rPr>
      </w:pPr>
      <w:r>
        <w:rPr>
          <w:b/>
          <w:bCs/>
          <w:sz w:val="28"/>
          <w:lang w:val="es-ES_tradnl"/>
        </w:rPr>
        <w:t>1.-Trata sobre Dios su existencia y su naturaleza</w:t>
      </w:r>
    </w:p>
    <w:p w:rsidR="009C7596" w:rsidRDefault="009C7596" w:rsidP="009C7596">
      <w:pPr>
        <w:ind w:left="-1080" w:firstLine="1080"/>
        <w:jc w:val="both"/>
        <w:rPr>
          <w:b/>
          <w:bCs/>
          <w:sz w:val="28"/>
          <w:lang w:val="es-ES_tradnl"/>
        </w:rPr>
      </w:pPr>
      <w:r>
        <w:rPr>
          <w:b/>
          <w:bCs/>
          <w:sz w:val="28"/>
          <w:lang w:val="es-ES_tradnl"/>
        </w:rPr>
        <w:t>2.-Sobre la creación y las criaturas</w:t>
      </w:r>
    </w:p>
    <w:p w:rsidR="009C7596" w:rsidRDefault="009C7596" w:rsidP="009C7596">
      <w:pPr>
        <w:ind w:left="-1080" w:firstLine="1080"/>
        <w:jc w:val="both"/>
        <w:rPr>
          <w:b/>
          <w:bCs/>
          <w:sz w:val="28"/>
          <w:lang w:val="es-ES_tradnl"/>
        </w:rPr>
      </w:pPr>
      <w:r>
        <w:rPr>
          <w:b/>
          <w:bCs/>
          <w:sz w:val="28"/>
          <w:lang w:val="es-ES_tradnl"/>
        </w:rPr>
        <w:t xml:space="preserve">3.-Sobre Dios, fin último y gobernador supremo </w:t>
      </w:r>
    </w:p>
    <w:p w:rsidR="009C7596" w:rsidRDefault="009C7596" w:rsidP="009C7596">
      <w:pPr>
        <w:ind w:left="-1080" w:firstLine="1080"/>
        <w:jc w:val="both"/>
        <w:rPr>
          <w:b/>
          <w:bCs/>
          <w:sz w:val="28"/>
          <w:lang w:val="es-ES_tradnl"/>
        </w:rPr>
      </w:pPr>
      <w:r>
        <w:rPr>
          <w:b/>
          <w:bCs/>
          <w:sz w:val="28"/>
          <w:lang w:val="es-ES_tradnl"/>
        </w:rPr>
        <w:t>4.-Misterios divinos y postrimerias</w:t>
      </w:r>
      <w:r>
        <w:rPr>
          <w:b/>
          <w:bCs/>
          <w:sz w:val="28"/>
          <w:lang w:val="es-ES_tradnl"/>
        </w:rPr>
        <w:tab/>
      </w:r>
      <w:r>
        <w:rPr>
          <w:b/>
          <w:bCs/>
          <w:sz w:val="28"/>
          <w:lang w:val="es-ES_tradnl"/>
        </w:rPr>
        <w:tab/>
      </w:r>
      <w:r>
        <w:rPr>
          <w:b/>
          <w:bCs/>
          <w:sz w:val="28"/>
          <w:lang w:val="es-ES_tradnl"/>
        </w:rPr>
        <w:tab/>
      </w:r>
      <w:r>
        <w:rPr>
          <w:b/>
          <w:bCs/>
          <w:sz w:val="28"/>
          <w:lang w:val="es-ES_tradnl"/>
        </w:rPr>
        <w:tab/>
      </w:r>
      <w:r>
        <w:rPr>
          <w:b/>
          <w:bCs/>
          <w:sz w:val="28"/>
          <w:lang w:val="es-ES_tradnl"/>
        </w:rPr>
        <w:tab/>
      </w:r>
      <w:r>
        <w:rPr>
          <w:b/>
          <w:bCs/>
          <w:sz w:val="28"/>
          <w:lang w:val="es-ES_tradnl"/>
        </w:rPr>
        <w:tab/>
      </w:r>
    </w:p>
    <w:p w:rsidR="009C7596" w:rsidRDefault="009C7596" w:rsidP="009C7596">
      <w:pPr>
        <w:pStyle w:val="Ttulo2"/>
      </w:pPr>
      <w:r>
        <w:t>A Aristóteles lo llama “el Filósofo”, sin nombrarlo, y a su principal rival, el filósofo musulmán Averroes, lollama “el Comentador” nombre reservado en esa época para quienes conocían a fondo un autor.</w:t>
      </w:r>
    </w:p>
    <w:p w:rsidR="009C7596" w:rsidRDefault="009C7596" w:rsidP="009C7596">
      <w:pPr>
        <w:ind w:left="-1080" w:right="-1036"/>
        <w:jc w:val="both"/>
        <w:rPr>
          <w:b/>
          <w:bCs/>
          <w:sz w:val="28"/>
          <w:lang w:val="es-ES_tradnl"/>
        </w:rPr>
      </w:pPr>
      <w:r>
        <w:rPr>
          <w:sz w:val="28"/>
          <w:lang w:val="es-ES_tradnl"/>
        </w:rPr>
        <w:t xml:space="preserve"> </w:t>
      </w:r>
      <w:r>
        <w:rPr>
          <w:b/>
          <w:bCs/>
          <w:sz w:val="28"/>
          <w:lang w:val="es-ES_tradnl"/>
        </w:rPr>
        <w:t>Su obra cumbre es la ST su intención es escribir algo que sea adecuado para los estudiantes principiantes, un apunte, le salió una obra de 4000 páginas que es consultada hasta hoy por todos los especialistas en filosofía medieval.</w:t>
      </w:r>
    </w:p>
    <w:p w:rsidR="009C7596" w:rsidRDefault="009C7596" w:rsidP="009C7596">
      <w:pPr>
        <w:ind w:left="-1080" w:right="-1036"/>
        <w:jc w:val="both"/>
        <w:rPr>
          <w:b/>
          <w:bCs/>
          <w:sz w:val="28"/>
          <w:lang w:val="es-ES_tradnl"/>
        </w:rPr>
      </w:pPr>
      <w:r>
        <w:rPr>
          <w:b/>
          <w:bCs/>
          <w:sz w:val="28"/>
          <w:lang w:val="es-ES_tradnl"/>
        </w:rPr>
        <w:t>La ST esta dividida en tres partes:</w:t>
      </w:r>
    </w:p>
    <w:p w:rsidR="009C7596" w:rsidRDefault="009C7596" w:rsidP="009C7596">
      <w:pPr>
        <w:ind w:left="-1080"/>
        <w:jc w:val="both"/>
        <w:rPr>
          <w:b/>
          <w:bCs/>
          <w:sz w:val="28"/>
          <w:lang w:val="es-ES_tradnl"/>
        </w:rPr>
      </w:pPr>
      <w:r>
        <w:rPr>
          <w:b/>
          <w:bCs/>
          <w:sz w:val="28"/>
          <w:lang w:val="es-ES_tradnl"/>
        </w:rPr>
        <w:tab/>
        <w:t>1.- Dios uno y Trino</w:t>
      </w:r>
    </w:p>
    <w:p w:rsidR="009C7596" w:rsidRDefault="009C7596" w:rsidP="009C7596">
      <w:pPr>
        <w:ind w:left="-1080"/>
        <w:jc w:val="both"/>
        <w:rPr>
          <w:b/>
          <w:bCs/>
          <w:sz w:val="28"/>
          <w:lang w:val="es-ES_tradnl"/>
        </w:rPr>
      </w:pPr>
      <w:r>
        <w:rPr>
          <w:b/>
          <w:bCs/>
          <w:sz w:val="28"/>
          <w:lang w:val="es-ES_tradnl"/>
        </w:rPr>
        <w:tab/>
        <w:t>2.- El fin del Hombre</w:t>
      </w:r>
    </w:p>
    <w:p w:rsidR="009C7596" w:rsidRDefault="009C7596" w:rsidP="009C7596">
      <w:pPr>
        <w:ind w:left="-1080"/>
        <w:jc w:val="both"/>
        <w:rPr>
          <w:b/>
          <w:bCs/>
          <w:sz w:val="28"/>
          <w:lang w:val="es-ES_tradnl"/>
        </w:rPr>
      </w:pPr>
      <w:r>
        <w:rPr>
          <w:b/>
          <w:bCs/>
          <w:sz w:val="28"/>
          <w:lang w:val="es-ES_tradnl"/>
        </w:rPr>
        <w:tab/>
        <w:t>3.- Cristo</w:t>
      </w:r>
    </w:p>
    <w:p w:rsidR="009C7596" w:rsidRDefault="009C7596" w:rsidP="009C7596">
      <w:pPr>
        <w:ind w:left="-1080" w:right="-1036"/>
        <w:jc w:val="both"/>
        <w:rPr>
          <w:b/>
          <w:bCs/>
          <w:sz w:val="28"/>
          <w:lang w:val="es-ES_tradnl"/>
        </w:rPr>
      </w:pPr>
      <w:r>
        <w:rPr>
          <w:b/>
          <w:bCs/>
          <w:sz w:val="28"/>
          <w:lang w:val="es-ES_tradnl"/>
        </w:rPr>
        <w:t>Cada parte esta dividida en cuestiones, y cada cuestión en artículos. Estos tienen la estructura de una disputa o de la misma clase:</w:t>
      </w:r>
    </w:p>
    <w:p w:rsidR="009C7596" w:rsidRDefault="009C7596" w:rsidP="009C7596">
      <w:pPr>
        <w:ind w:left="-1080" w:right="-1036"/>
        <w:jc w:val="both"/>
        <w:rPr>
          <w:b/>
          <w:bCs/>
          <w:sz w:val="28"/>
          <w:lang w:val="es-ES_tradnl"/>
        </w:rPr>
      </w:pPr>
      <w:r>
        <w:rPr>
          <w:b/>
          <w:bCs/>
          <w:sz w:val="28"/>
          <w:lang w:val="es-ES_tradnl"/>
        </w:rPr>
        <w:tab/>
        <w:t>El título del artículo plantea un problema, que en su formación en latín comienza casi simepre con la palabra utrum, usada generalmente en las interrogaciones dobles ( ¿ es o no es?) ¿ cuál de las dos? Etc.) Luego el autor pone las objeciones más fuertes sobre este asunto. Estas dificultades se numeran.</w:t>
      </w:r>
    </w:p>
    <w:p w:rsidR="009C7596" w:rsidRDefault="009C7596" w:rsidP="009C7596">
      <w:pPr>
        <w:ind w:left="-1080" w:right="-1036" w:firstLine="1080"/>
        <w:jc w:val="both"/>
        <w:rPr>
          <w:b/>
          <w:bCs/>
          <w:sz w:val="28"/>
          <w:lang w:val="es-ES_tradnl"/>
        </w:rPr>
      </w:pPr>
      <w:r>
        <w:rPr>
          <w:b/>
          <w:bCs/>
          <w:sz w:val="28"/>
          <w:lang w:val="es-ES_tradnl"/>
        </w:rPr>
        <w:t>A continuación se formula el sed contra ( pero contra esto...) en el que se recurre a alguana autoridad que dice lo contrario; luego vien la “respuesta” ( Respondeo dicendum quod...) que constituye la solución de Tomás al problema planteado en el título de artículo. Por último se responde a cada una de las objeciones o dificultades.</w:t>
      </w:r>
    </w:p>
    <w:p w:rsidR="009C7596" w:rsidRDefault="009C7596" w:rsidP="009C7596">
      <w:pPr>
        <w:ind w:left="-1080" w:right="-1036"/>
        <w:jc w:val="both"/>
        <w:rPr>
          <w:b/>
          <w:bCs/>
          <w:sz w:val="28"/>
          <w:lang w:val="es-ES_tradnl"/>
        </w:rPr>
      </w:pPr>
    </w:p>
    <w:p w:rsidR="009C7596" w:rsidRDefault="009C7596" w:rsidP="009C7596">
      <w:pPr>
        <w:pStyle w:val="Ttulo3"/>
      </w:pPr>
      <w:r>
        <w:t>LA FILOSOFÍA Y LA TEOLOGÍA SOBRENATURAL</w:t>
      </w:r>
    </w:p>
    <w:p w:rsidR="009C7596" w:rsidRDefault="009C7596" w:rsidP="009C7596">
      <w:pPr>
        <w:pStyle w:val="Sangradetextonormal"/>
        <w:ind w:right="-1036" w:firstLine="1080"/>
      </w:pPr>
      <w:r>
        <w:t>En la Suma Contra los Gentiles se expresa de este modo:</w:t>
      </w:r>
    </w:p>
    <w:p w:rsidR="009C7596" w:rsidRDefault="009C7596" w:rsidP="009C7596">
      <w:pPr>
        <w:ind w:left="-1080" w:right="-1036"/>
        <w:jc w:val="both"/>
        <w:rPr>
          <w:b/>
          <w:bCs/>
          <w:sz w:val="28"/>
          <w:lang w:val="es-ES_tradnl"/>
        </w:rPr>
      </w:pPr>
      <w:r>
        <w:rPr>
          <w:b/>
          <w:bCs/>
          <w:sz w:val="28"/>
          <w:lang w:val="es-ES_tradnl"/>
        </w:rPr>
        <w:tab/>
        <w:t>“En la filosofía, que considera las criaturas en sí mismas y partiendo de ellas conduce al conocimiento de Dios, la consideración de las criaturas es la primera, y la de Dios la última.</w:t>
      </w:r>
    </w:p>
    <w:p w:rsidR="009C7596" w:rsidRDefault="009C7596" w:rsidP="009C7596">
      <w:pPr>
        <w:ind w:left="-1080" w:right="-1036"/>
        <w:jc w:val="both"/>
        <w:rPr>
          <w:b/>
          <w:bCs/>
          <w:sz w:val="28"/>
          <w:lang w:val="es-ES_tradnl"/>
        </w:rPr>
      </w:pPr>
      <w:r>
        <w:rPr>
          <w:b/>
          <w:bCs/>
          <w:sz w:val="28"/>
          <w:lang w:val="es-ES_tradnl"/>
        </w:rPr>
        <w:t>En la doctrina de la fe, que considera a las criaturas sólo en orden a Dios, lo primero es el conocimiento de Dios y después de las criaturas.”</w:t>
      </w:r>
    </w:p>
    <w:p w:rsidR="009C7596" w:rsidRDefault="009C7596" w:rsidP="009C7596">
      <w:pPr>
        <w:ind w:left="-1080" w:right="-1036"/>
        <w:jc w:val="both"/>
        <w:rPr>
          <w:b/>
          <w:bCs/>
          <w:sz w:val="28"/>
          <w:lang w:val="es-ES_tradnl"/>
        </w:rPr>
      </w:pPr>
      <w:r>
        <w:rPr>
          <w:b/>
          <w:bCs/>
          <w:sz w:val="28"/>
          <w:lang w:val="es-ES_tradnl"/>
        </w:rPr>
        <w:tab/>
        <w:t xml:space="preserve">Santo Tomás de Aquino  fue por sobre todo un teólogo,  Gilson afirma que Tomás no se imaginó que en sus obras se buscarían los elementos de una filosofía sacada de su teología. </w:t>
      </w:r>
    </w:p>
    <w:p w:rsidR="009C7596" w:rsidRDefault="009C7596" w:rsidP="009C7596">
      <w:pPr>
        <w:ind w:left="-1080" w:right="-1036"/>
        <w:jc w:val="both"/>
        <w:rPr>
          <w:b/>
          <w:bCs/>
          <w:sz w:val="28"/>
          <w:lang w:val="es-ES_tradnl"/>
        </w:rPr>
      </w:pPr>
      <w:r>
        <w:rPr>
          <w:b/>
          <w:bCs/>
          <w:sz w:val="28"/>
          <w:lang w:val="es-ES_tradnl"/>
        </w:rPr>
        <w:t>En sus escritos de juventud, En las Sentencias de Pedro Lombardo había afirmado que la filosofía basta para la perfección de la inteligencia según el conocimiento natural.</w:t>
      </w:r>
    </w:p>
    <w:p w:rsidR="009C7596" w:rsidRDefault="009C7596" w:rsidP="009C7596">
      <w:pPr>
        <w:ind w:left="-1080" w:right="-1036"/>
        <w:jc w:val="both"/>
        <w:rPr>
          <w:b/>
          <w:bCs/>
          <w:sz w:val="28"/>
          <w:lang w:val="es-ES_tradnl"/>
        </w:rPr>
      </w:pPr>
      <w:r>
        <w:rPr>
          <w:b/>
          <w:bCs/>
          <w:sz w:val="28"/>
          <w:lang w:val="es-ES_tradnl"/>
        </w:rPr>
        <w:lastRenderedPageBreak/>
        <w:t xml:space="preserve">En su comentario a la Metafísica de Aristóteles sostiene que los filósofos se parecen a los poetas, porque ambos tratan sobre cosas dignas de admiración. </w:t>
      </w:r>
    </w:p>
    <w:p w:rsidR="009C7596" w:rsidRDefault="009C7596" w:rsidP="009C7596">
      <w:pPr>
        <w:ind w:left="-1080" w:right="-1036"/>
        <w:jc w:val="both"/>
        <w:rPr>
          <w:b/>
          <w:bCs/>
          <w:sz w:val="28"/>
          <w:lang w:val="es-ES_tradnl"/>
        </w:rPr>
      </w:pPr>
      <w:r>
        <w:rPr>
          <w:b/>
          <w:bCs/>
          <w:sz w:val="28"/>
          <w:lang w:val="es-ES_tradnl"/>
        </w:rPr>
        <w:tab/>
        <w:t>Afirma Ballesteros, que Tomás ante todo es teólogo, filosofía y teología sobrenatural se complementan, cada una desde su formalidad propia, para el conocimiento de Dios. Aunque la primicia para conocer a Dios tiene la teología. Pero la filosofía es independiente de todo otro saber. Filósofos y teólogos tienen distintos tipos de vida.</w:t>
      </w:r>
    </w:p>
    <w:p w:rsidR="009C7596" w:rsidRDefault="009C7596" w:rsidP="009C7596">
      <w:pPr>
        <w:ind w:left="-1080"/>
        <w:jc w:val="both"/>
        <w:rPr>
          <w:b/>
          <w:bCs/>
          <w:sz w:val="28"/>
          <w:lang w:val="es-ES_tradnl"/>
        </w:rPr>
      </w:pPr>
    </w:p>
    <w:p w:rsidR="009C7596" w:rsidRDefault="009C7596" w:rsidP="009C7596">
      <w:pPr>
        <w:ind w:left="-1080"/>
        <w:jc w:val="both"/>
        <w:rPr>
          <w:b/>
          <w:bCs/>
          <w:sz w:val="28"/>
          <w:u w:val="single"/>
          <w:lang w:val="es-ES_tradnl"/>
        </w:rPr>
      </w:pPr>
      <w:r>
        <w:rPr>
          <w:b/>
          <w:bCs/>
          <w:sz w:val="28"/>
          <w:lang w:val="es-ES_tradnl"/>
        </w:rPr>
        <w:tab/>
      </w:r>
      <w:r>
        <w:rPr>
          <w:b/>
          <w:bCs/>
          <w:sz w:val="28"/>
          <w:lang w:val="es-ES_tradnl"/>
        </w:rPr>
        <w:tab/>
      </w:r>
      <w:r>
        <w:rPr>
          <w:b/>
          <w:bCs/>
          <w:sz w:val="28"/>
          <w:lang w:val="es-ES_tradnl"/>
        </w:rPr>
        <w:tab/>
      </w:r>
      <w:r>
        <w:rPr>
          <w:b/>
          <w:bCs/>
          <w:sz w:val="28"/>
          <w:lang w:val="es-ES_tradnl"/>
        </w:rPr>
        <w:tab/>
      </w:r>
      <w:r>
        <w:rPr>
          <w:b/>
          <w:bCs/>
          <w:sz w:val="28"/>
          <w:lang w:val="es-ES_tradnl"/>
        </w:rPr>
        <w:tab/>
      </w:r>
      <w:r>
        <w:rPr>
          <w:b/>
          <w:bCs/>
          <w:sz w:val="28"/>
          <w:u w:val="single"/>
          <w:lang w:val="es-ES_tradnl"/>
        </w:rPr>
        <w:t>LA METAFÍSICA</w:t>
      </w:r>
    </w:p>
    <w:p w:rsidR="009C7596" w:rsidRDefault="009C7596" w:rsidP="009C7596">
      <w:pPr>
        <w:ind w:left="-1080"/>
        <w:jc w:val="both"/>
        <w:rPr>
          <w:b/>
          <w:bCs/>
          <w:sz w:val="28"/>
          <w:u w:val="single"/>
          <w:lang w:val="es-ES_tradnl"/>
        </w:rPr>
      </w:pPr>
    </w:p>
    <w:p w:rsidR="009C7596" w:rsidRDefault="009C7596" w:rsidP="009C7596">
      <w:pPr>
        <w:pStyle w:val="Sangradetextonormal"/>
        <w:ind w:right="-1036"/>
      </w:pPr>
      <w:r>
        <w:t xml:space="preserve">Santo Tomás de Aquino  no es un simple aristotélico. Tomás es más que la suma de sus fuentes. Sin duda la influencia Aristotélica es la mayor. Pero Platón influye no poco en su metafísica, y los estoicos en otras varias cuestiones. </w:t>
      </w:r>
    </w:p>
    <w:p w:rsidR="009C7596" w:rsidRDefault="009C7596" w:rsidP="009C7596">
      <w:pPr>
        <w:pStyle w:val="Sangradetextonormal"/>
        <w:ind w:right="-1036"/>
      </w:pPr>
      <w:r>
        <w:t>En su metafísica es notable la distinción entre ser y ente: el esse no es ens, sino aquello por lo que el ens es.</w:t>
      </w:r>
    </w:p>
    <w:p w:rsidR="009C7596" w:rsidRDefault="009C7596" w:rsidP="009C7596">
      <w:pPr>
        <w:pStyle w:val="Sangradetextonormal"/>
        <w:ind w:right="-1036"/>
      </w:pPr>
      <w:r>
        <w:t xml:space="preserve">El ser no es el ente, sino aquello por lo que el ente es. Esta distinción es capital porque le permite explicar la relación entre Dios y lo creado. </w:t>
      </w:r>
    </w:p>
    <w:p w:rsidR="009C7596" w:rsidRDefault="009C7596" w:rsidP="009C7596">
      <w:pPr>
        <w:pStyle w:val="Sangradetextonormal"/>
        <w:ind w:right="-1036"/>
      </w:pPr>
      <w:r>
        <w:t>El ser es la actualidad de todos los actos. Para Aristóteles solamente hay un acto en el ente: el de la forma.</w:t>
      </w:r>
    </w:p>
    <w:p w:rsidR="009C7596" w:rsidRDefault="009C7596" w:rsidP="009C7596">
      <w:pPr>
        <w:pStyle w:val="Sangradetextonormal"/>
        <w:ind w:right="-1036"/>
      </w:pPr>
      <w:r>
        <w:t xml:space="preserve">Para Tomás el ser es acto del ente mismo y por lo tanto también es acto de la forma. Esto es la base de lo que llamó doble composición de potencia y acto tal como lo indica en la Suma contra los gentiles, donde afirma que no es lo mismo estar compuesto de substancia y ser que de materia y forma, aunque en ambos casos hay potencia y acto. En los entes compuesto de materia y forma ninguno de éstas separadamente ( ni la materia ni la forma) pueden explicar porque algo es. </w:t>
      </w:r>
    </w:p>
    <w:p w:rsidR="009C7596" w:rsidRDefault="009C7596" w:rsidP="009C7596">
      <w:pPr>
        <w:pStyle w:val="Sangradetextonormal"/>
        <w:ind w:right="-1036"/>
      </w:pPr>
      <w:r>
        <w:t xml:space="preserve">El ser ( esse) es lo que hace que una substancia se denomine ente. Esto es así porque en las substancias compuestas de materia y forma hay una doble composición de acto y potencia. La primera composición es de materia y forma; en la segunda composición es la de lo que es y ser o de lo que es y por lo que es. En esta segunda composición de esencia y ser ( esse) la esencia se relaciona con la potencia y el ser con el acto que hace que el ente sea, ya que el ente no es el ser sino algo que tiene ser, sin ser el ser.   </w:t>
      </w:r>
    </w:p>
    <w:p w:rsidR="009C7596" w:rsidRDefault="009C7596" w:rsidP="009C7596">
      <w:pPr>
        <w:pStyle w:val="Sangradetextonormal"/>
        <w:ind w:right="-1036"/>
      </w:pPr>
      <w:r>
        <w:t>En la substancia compuesta de materia y forma hay pues un doble orden, el de la materia a la forma y el de la misma cosa compuesta al ser participado. Esta noción de participación es sin duda de origen platónico, pero en la concepción de STA los entes participan del ser no solamente para ser lo que son, sino también para existir. Todo es en cuanto tiene ser, y los entes lo tienen por participación del otro, del ipsum esse. En la Suma Contra los Gentiles L.1 cap. 22</w:t>
      </w:r>
    </w:p>
    <w:p w:rsidR="009C7596" w:rsidRDefault="009C7596" w:rsidP="009C7596">
      <w:pPr>
        <w:pStyle w:val="Sangradetextonormal"/>
        <w:ind w:right="-1036"/>
        <w:rPr>
          <w:i/>
          <w:iCs/>
        </w:rPr>
      </w:pPr>
      <w:r>
        <w:tab/>
      </w:r>
      <w:r>
        <w:rPr>
          <w:i/>
          <w:iCs/>
        </w:rPr>
        <w:t>Todo es en cuanto tiene ser. Ninguna cosa, por tanto, cuya esencia no sea su ser, es por esencia, sino participación de otro, es decir del mismo ser. Pero lo que es por participación de otro no puede ser primer ser, pues aquello de que participa para ser es anterior a él, y Dios es el primer ser, anterior al cual nada hay.</w:t>
      </w:r>
    </w:p>
    <w:p w:rsidR="009C7596" w:rsidRDefault="009C7596" w:rsidP="009C7596">
      <w:pPr>
        <w:pStyle w:val="Sangradetextonormal"/>
        <w:ind w:right="-1036"/>
        <w:rPr>
          <w:i/>
          <w:iCs/>
        </w:rPr>
      </w:pPr>
    </w:p>
    <w:p w:rsidR="009C7596" w:rsidRDefault="009C7596" w:rsidP="009C7596">
      <w:pPr>
        <w:pStyle w:val="Sangradetextonormal"/>
        <w:ind w:right="-1036"/>
      </w:pPr>
      <w:r>
        <w:rPr>
          <w:i/>
          <w:iCs/>
        </w:rPr>
        <w:tab/>
      </w:r>
      <w:r>
        <w:t xml:space="preserve">Sólo Dios es el que es. Todo lo demás existe por participación de su ser. Por eso en Dios se identifican su esencia y su ser. El esse es la actualidad de todo lo que existe. En todo ente </w:t>
      </w:r>
      <w:r>
        <w:lastRenderedPageBreak/>
        <w:t xml:space="preserve">el ser se comporta con la esencia como el acto con la potencia. Pero como en Dios no hay potencia no puede su esencia ser distinta de su ser. Por eso Dios es el que es y además es la fuente del ser. </w:t>
      </w:r>
    </w:p>
    <w:p w:rsidR="009C7596" w:rsidRDefault="009C7596" w:rsidP="009C7596">
      <w:pPr>
        <w:pStyle w:val="Sangradetextonormal"/>
        <w:ind w:right="-1036"/>
      </w:pPr>
      <w:r>
        <w:tab/>
        <w:t xml:space="preserve">La totalidad de los entes existe por creación de Dios. La creación, la producción de todo el ser, consiste en el acto por el cual El que es, el acto puro de ser, causa los actos finitos de ser. </w:t>
      </w:r>
    </w:p>
    <w:p w:rsidR="009C7596" w:rsidRDefault="009C7596" w:rsidP="009C7596">
      <w:pPr>
        <w:pStyle w:val="Sangradetextonormal"/>
        <w:ind w:right="-1036" w:firstLine="360"/>
      </w:pPr>
      <w:r>
        <w:tab/>
        <w:t>Dios creó al mundo de la nada. Esta afirmación fue bastante resistida por los filósofos, que entendían que era un dogma de fe y no algo que aceptara una explicación racional. Tomás trata esta cuestión con argumentos racionales. Sostiene que Dios produjo las cosas en el ser sin nada preexistente que le sirviese como materia. Argumentó que no hay materia alguna que esté en potencia respecto al ser universal. Hablando en absoluto es necesario que el acto sea anterior a la potencia ya que la potencia no se actualiza sino por un ser en acto. Ahora bien, la materia es un ser en potencia. Por eso es preciso que Dios, que es acto puro, sea en absoluto anterior a ella, y consiguientemente, causa de la misma. En consecuencia, su acción no presupone necesariamente la materia.</w:t>
      </w:r>
    </w:p>
    <w:p w:rsidR="009C7596" w:rsidRDefault="009C7596" w:rsidP="009C7596">
      <w:pPr>
        <w:pStyle w:val="Sangradetextonormal"/>
        <w:ind w:right="-1036"/>
      </w:pPr>
      <w:r>
        <w:t xml:space="preserve">Para Tomás el mundo tiene un fin, sostiene que cada parte del universo se ordena a su propio acto, a su perfección. Las criaturas menos nobles se ordenan a las más nobles, como las inferiores al hombre se ordena a éste.   </w:t>
      </w:r>
    </w:p>
    <w:p w:rsidR="009C7596" w:rsidRDefault="009C7596" w:rsidP="009C7596">
      <w:pPr>
        <w:pStyle w:val="NormalWeb"/>
        <w:spacing w:beforeAutospacing="0" w:afterAutospacing="0"/>
        <w:ind w:left="-1080" w:right="-1036"/>
        <w:jc w:val="center"/>
        <w:rPr>
          <w:rFonts w:ascii="Times New Roman" w:hAnsi="Times New Roman" w:cs="Times New Roman"/>
          <w:b/>
          <w:bCs/>
          <w:i/>
          <w:iCs/>
          <w:sz w:val="28"/>
          <w:u w:val="single"/>
        </w:rPr>
      </w:pPr>
      <w:r>
        <w:rPr>
          <w:rFonts w:ascii="Times New Roman" w:hAnsi="Times New Roman" w:cs="Times New Roman"/>
          <w:b/>
          <w:bCs/>
          <w:i/>
          <w:iCs/>
          <w:sz w:val="28"/>
          <w:u w:val="single"/>
        </w:rPr>
        <w:t xml:space="preserve"> ETICA</w:t>
      </w:r>
    </w:p>
    <w:p w:rsidR="009C7596" w:rsidRDefault="009C7596" w:rsidP="009C7596">
      <w:pPr>
        <w:ind w:left="-1080" w:right="-1036"/>
        <w:jc w:val="both"/>
        <w:rPr>
          <w:b/>
          <w:bCs/>
          <w:sz w:val="28"/>
        </w:rPr>
      </w:pPr>
      <w:r>
        <w:rPr>
          <w:b/>
          <w:bCs/>
          <w:sz w:val="28"/>
        </w:rPr>
        <w:t xml:space="preserve">El hombre es lo más perfecto de la naturaleza, a quien le están subordinadas todas las otras criaturas inferiores: Las cosas elementales existen para las compuestas y éstas para las vivientes. Todo está ordenado al hombre. El hombre es el fin de toda la creación.  El fin del hombre es Dios, por ser animal racional. El hombre difiere de las criaturas irracionales porque tiene dominio de sus actos. Esto le permite dirigirse hacia el fin que lo perfecciona. </w:t>
      </w:r>
    </w:p>
    <w:p w:rsidR="009C7596" w:rsidRDefault="009C7596" w:rsidP="009C7596">
      <w:pPr>
        <w:pStyle w:val="Textodebloque"/>
        <w:rPr>
          <w:lang w:val="es-ES"/>
        </w:rPr>
      </w:pPr>
      <w:r>
        <w:rPr>
          <w:lang w:val="es-ES"/>
        </w:rPr>
        <w:t xml:space="preserve">Al fin último en la 2º parte de la Suma Teológica Santo Tomás lo considera bajo el concepto mismo de fin último; o en cuanto a la realidad en cuanto este consiste. En cuanto fin último todos concuerdan en que es desear el fin., porque todos apetecen el cumplimiento de su perfección. Pero respecto a la realidad, en que se encuentra, no está de acuerdo todos los hombres porque para unos la felicidad consiste en unos bienes y para otros en otros. Esto lo desarrolla Aristóteles en el libro primero y último se su ética. Introduce la idea de que hay dos tipos de felicidad, una imperfecta y la otra perfecta que se puede tener en esta vida; y la perfecta, que consiste en la visión de Dios. La felicidad imperfecta puede ser alcanzada por el hombre en esta vida, Aristóteles escribió que la “perfecta felicidad” del hombre ocupa la totalidad de su vida, porque en la felicidad no hay nada incompleto. “Tal vida, sin embargo, sería demasiado excelente para el hombre. En cuanto hombre, en efecto, no vivirá de esta manera, sino en cuanto hay en él algo divino”, de aquí concluye STA que la felicidad perfecta es Dios. Además, nada puede aquietar la voluntad del hombre sino el bien universal, el cual no se encuentra en ninguna cosa creada, sino solamente en Dios. La felicidad imperfecta que se puede alcanzar en esta vida, puede ser lograda por el hombre por sus medios naturales. Pero no puede por los medios naturales conseguir la felicidad suprema, que es la contemplación de la verdad y </w:t>
      </w:r>
      <w:r>
        <w:rPr>
          <w:lang w:val="es-ES"/>
        </w:rPr>
        <w:lastRenderedPageBreak/>
        <w:t xml:space="preserve">secundariamente en la actividad del entendimiento práctico, que pone orden en las acciones y pasiones humanas.                                                        </w:t>
      </w:r>
    </w:p>
    <w:p w:rsidR="009C7596" w:rsidRDefault="009C7596" w:rsidP="009C7596">
      <w:pPr>
        <w:ind w:left="-1080" w:right="-1036"/>
        <w:jc w:val="both"/>
        <w:rPr>
          <w:b/>
          <w:bCs/>
          <w:sz w:val="28"/>
        </w:rPr>
      </w:pPr>
      <w:r>
        <w:rPr>
          <w:b/>
          <w:bCs/>
          <w:sz w:val="28"/>
        </w:rPr>
        <w:t xml:space="preserve"> Las acciones humanas se consideran tales si son voluntarias y son buenas o malas según el fin que tienen. En el acto voluntario hay dos aspectos a tener en cuenta: uno interno y otro externo. El fin es el objeto del acto interno, mientras que la acción exterior tien por objeto aquello a lo que se refiere. Por eso, sostiene STA, Aristóteles dijo que “aquel que roba para comerte adulterio es más adultero que ladrón”. La conciencia es un dictamen de la razón, el juicio de la conciencia es el que hace que la acción sea buena o mala, más allá del acto externo concretamente realizado. </w:t>
      </w:r>
    </w:p>
    <w:p w:rsidR="009C7596" w:rsidRDefault="009C7596" w:rsidP="009C7596">
      <w:pPr>
        <w:ind w:left="-1080" w:right="-1036"/>
        <w:jc w:val="both"/>
        <w:rPr>
          <w:b/>
          <w:bCs/>
          <w:sz w:val="28"/>
        </w:rPr>
      </w:pPr>
      <w:r>
        <w:rPr>
          <w:b/>
          <w:bCs/>
          <w:sz w:val="28"/>
        </w:rPr>
        <w:t>Por eso para STA la conciencia errónea obliga moralmente, ya que la regla de nuestros actos está dada subjetivamente por nuestra intención.</w:t>
      </w:r>
    </w:p>
    <w:p w:rsidR="009C7596" w:rsidRDefault="009C7596" w:rsidP="009C7596">
      <w:pPr>
        <w:ind w:left="-1080" w:right="-1036"/>
        <w:jc w:val="both"/>
        <w:rPr>
          <w:b/>
          <w:bCs/>
          <w:sz w:val="28"/>
        </w:rPr>
      </w:pPr>
      <w:r>
        <w:rPr>
          <w:b/>
          <w:bCs/>
          <w:sz w:val="28"/>
        </w:rPr>
        <w:t>El juicio de la conciencia puede ser erróneo, pero como el ser humano cuando está en el error cree estar en la verdad, debe obedecer a su conciencia.</w:t>
      </w:r>
    </w:p>
    <w:p w:rsidR="009C7596" w:rsidRDefault="009C7596" w:rsidP="009C7596">
      <w:pPr>
        <w:ind w:left="-1080" w:right="-1036"/>
        <w:jc w:val="both"/>
        <w:rPr>
          <w:b/>
          <w:bCs/>
          <w:sz w:val="28"/>
        </w:rPr>
      </w:pPr>
    </w:p>
    <w:p w:rsidR="009C7596" w:rsidRDefault="009C7596" w:rsidP="009C7596">
      <w:pPr>
        <w:ind w:left="-1080" w:right="-1036"/>
        <w:jc w:val="both"/>
        <w:rPr>
          <w:b/>
          <w:bCs/>
          <w:sz w:val="28"/>
        </w:rPr>
      </w:pPr>
    </w:p>
    <w:p w:rsidR="009C7596" w:rsidRDefault="009C7596" w:rsidP="009C7596">
      <w:pPr>
        <w:ind w:left="-1080" w:right="-1036"/>
        <w:jc w:val="both"/>
        <w:rPr>
          <w:b/>
          <w:bCs/>
          <w:sz w:val="28"/>
        </w:rPr>
      </w:pPr>
    </w:p>
    <w:p w:rsidR="009C7596" w:rsidRDefault="009C7596" w:rsidP="009C7596">
      <w:pPr>
        <w:ind w:left="-1080" w:right="-1036"/>
        <w:jc w:val="both"/>
        <w:rPr>
          <w:b/>
          <w:bCs/>
          <w:sz w:val="28"/>
        </w:rPr>
      </w:pPr>
    </w:p>
    <w:p w:rsidR="009C7596" w:rsidRDefault="009C7596" w:rsidP="009C7596">
      <w:pPr>
        <w:ind w:left="-1080" w:right="-1036"/>
        <w:jc w:val="both"/>
        <w:rPr>
          <w:b/>
          <w:bCs/>
          <w:sz w:val="28"/>
        </w:rPr>
      </w:pPr>
      <w:r>
        <w:rPr>
          <w:b/>
          <w:bCs/>
          <w:sz w:val="28"/>
        </w:rPr>
        <w:t xml:space="preserve"> </w:t>
      </w:r>
    </w:p>
    <w:p w:rsidR="009C7596" w:rsidRDefault="009C7596" w:rsidP="009C7596">
      <w:pPr>
        <w:ind w:left="-1080" w:right="-1216"/>
        <w:jc w:val="both"/>
        <w:rPr>
          <w:b/>
          <w:bCs/>
          <w:sz w:val="28"/>
          <w:lang w:val="es-ES_tradnl"/>
        </w:rPr>
      </w:pPr>
    </w:p>
    <w:p w:rsidR="009C7596" w:rsidRDefault="009C7596" w:rsidP="009C7596">
      <w:pPr>
        <w:ind w:left="-1080" w:right="-1216"/>
        <w:jc w:val="both"/>
        <w:rPr>
          <w:b/>
          <w:bCs/>
          <w:sz w:val="28"/>
          <w:lang w:val="es-ES_tradnl"/>
        </w:rPr>
      </w:pPr>
    </w:p>
    <w:p w:rsidR="009C7596" w:rsidRDefault="009C7596" w:rsidP="009C7596">
      <w:pPr>
        <w:ind w:left="-1080" w:right="-1216"/>
        <w:jc w:val="both"/>
        <w:rPr>
          <w:b/>
          <w:bCs/>
          <w:sz w:val="28"/>
          <w:lang w:val="es-ES_tradnl"/>
        </w:rPr>
      </w:pPr>
    </w:p>
    <w:p w:rsidR="009C7596" w:rsidRDefault="009C7596" w:rsidP="009C7596">
      <w:pPr>
        <w:ind w:left="-1080" w:right="-1216"/>
        <w:jc w:val="both"/>
        <w:rPr>
          <w:b/>
          <w:bCs/>
          <w:sz w:val="28"/>
          <w:u w:val="single"/>
          <w:lang w:val="es-ES_tradnl"/>
        </w:rPr>
      </w:pPr>
    </w:p>
    <w:p w:rsidR="009C7596" w:rsidRDefault="009C7596" w:rsidP="009C7596">
      <w:pPr>
        <w:ind w:left="-1080" w:right="-1216"/>
        <w:jc w:val="both"/>
        <w:rPr>
          <w:b/>
          <w:bCs/>
          <w:sz w:val="28"/>
          <w:lang w:val="es-ES_tradnl"/>
        </w:rPr>
      </w:pPr>
      <w:r>
        <w:rPr>
          <w:b/>
          <w:bCs/>
          <w:sz w:val="28"/>
          <w:lang w:val="es-ES_tradnl"/>
        </w:rPr>
        <w:tab/>
      </w:r>
    </w:p>
    <w:p w:rsidR="009C7596" w:rsidRDefault="009C7596" w:rsidP="009C7596">
      <w:pPr>
        <w:ind w:left="-1080" w:right="-1216"/>
        <w:jc w:val="both"/>
        <w:rPr>
          <w:b/>
          <w:bCs/>
          <w:sz w:val="28"/>
          <w:lang w:val="es-ES_tradnl"/>
        </w:rPr>
      </w:pPr>
      <w:r>
        <w:rPr>
          <w:b/>
          <w:bCs/>
          <w:sz w:val="28"/>
          <w:lang w:val="es-ES_tradnl"/>
        </w:rPr>
        <w:tab/>
      </w:r>
    </w:p>
    <w:p w:rsidR="009C7596" w:rsidRDefault="009C7596" w:rsidP="009C7596">
      <w:pPr>
        <w:ind w:left="-1080" w:right="-1216"/>
        <w:jc w:val="both"/>
        <w:rPr>
          <w:b/>
          <w:bCs/>
          <w:sz w:val="28"/>
          <w:lang w:val="es-ES_tradnl"/>
        </w:rPr>
      </w:pPr>
    </w:p>
    <w:p w:rsidR="009C7596" w:rsidRDefault="009C7596" w:rsidP="009C7596">
      <w:pPr>
        <w:ind w:left="-1080" w:right="-1216"/>
        <w:jc w:val="both"/>
        <w:rPr>
          <w:b/>
          <w:bCs/>
          <w:sz w:val="28"/>
          <w:lang w:val="es-ES_tradnl"/>
        </w:rPr>
      </w:pPr>
    </w:p>
    <w:p w:rsidR="009C7596" w:rsidRDefault="009C7596" w:rsidP="009C7596">
      <w:pPr>
        <w:ind w:left="-1080" w:right="-1216"/>
        <w:jc w:val="both"/>
        <w:rPr>
          <w:b/>
          <w:bCs/>
          <w:sz w:val="28"/>
          <w:lang w:val="es-ES_tradnl"/>
        </w:rPr>
      </w:pPr>
    </w:p>
    <w:p w:rsidR="009C7596" w:rsidRDefault="009C7596" w:rsidP="009C7596">
      <w:pPr>
        <w:ind w:left="-1080" w:right="-1216"/>
        <w:jc w:val="both"/>
        <w:rPr>
          <w:b/>
          <w:bCs/>
          <w:sz w:val="28"/>
        </w:rPr>
      </w:pPr>
      <w:r>
        <w:rPr>
          <w:b/>
          <w:bCs/>
          <w:sz w:val="28"/>
          <w:lang w:val="es-ES_tradnl"/>
        </w:rPr>
        <w:t xml:space="preserve"> </w:t>
      </w:r>
    </w:p>
    <w:p w:rsidR="009C7596" w:rsidRDefault="009C7596" w:rsidP="009C7596">
      <w:pPr>
        <w:ind w:left="-1080" w:right="-1216"/>
        <w:jc w:val="both"/>
        <w:rPr>
          <w:b/>
          <w:bCs/>
          <w:sz w:val="28"/>
          <w:lang w:val="es-ES_tradnl"/>
        </w:rPr>
      </w:pPr>
    </w:p>
    <w:p w:rsidR="00AC3586" w:rsidRPr="009C7596" w:rsidRDefault="00AC3586">
      <w:pPr>
        <w:rPr>
          <w:lang w:val="es-ES_tradnl"/>
        </w:rPr>
      </w:pPr>
      <w:bookmarkStart w:id="0" w:name="_GoBack"/>
      <w:bookmarkEnd w:id="0"/>
    </w:p>
    <w:sectPr w:rsidR="00AC3586" w:rsidRPr="009C759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BC" w:rsidRDefault="008A2FBC" w:rsidP="009C7596">
      <w:r>
        <w:separator/>
      </w:r>
    </w:p>
  </w:endnote>
  <w:endnote w:type="continuationSeparator" w:id="0">
    <w:p w:rsidR="008A2FBC" w:rsidRDefault="008A2FBC" w:rsidP="009C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BC" w:rsidRDefault="008A2FBC" w:rsidP="009C7596">
      <w:r>
        <w:separator/>
      </w:r>
    </w:p>
  </w:footnote>
  <w:footnote w:type="continuationSeparator" w:id="0">
    <w:p w:rsidR="008A2FBC" w:rsidRDefault="008A2FBC" w:rsidP="009C7596">
      <w:r>
        <w:continuationSeparator/>
      </w:r>
    </w:p>
  </w:footnote>
  <w:footnote w:id="1">
    <w:p w:rsidR="009C7596" w:rsidRDefault="009C7596" w:rsidP="009C7596">
      <w:pPr>
        <w:pStyle w:val="NormalWeb"/>
        <w:rPr>
          <w:rFonts w:ascii="Arial" w:hAnsi="Arial" w:cs="Arial"/>
          <w:sz w:val="16"/>
        </w:rPr>
      </w:pPr>
      <w:r>
        <w:rPr>
          <w:rFonts w:ascii="Arial" w:hAnsi="Arial" w:cs="Arial"/>
          <w:sz w:val="16"/>
        </w:rPr>
        <w:t xml:space="preserve">El término </w:t>
      </w:r>
      <w:r>
        <w:rPr>
          <w:rFonts w:ascii="Arial" w:hAnsi="Arial" w:cs="Arial"/>
          <w:b/>
          <w:bCs/>
          <w:sz w:val="16"/>
        </w:rPr>
        <w:t>Quodlibet</w:t>
      </w:r>
      <w:r>
        <w:rPr>
          <w:rFonts w:ascii="Arial" w:hAnsi="Arial" w:cs="Arial"/>
          <w:sz w:val="16"/>
        </w:rPr>
        <w:t xml:space="preserve"> deriva del </w:t>
      </w:r>
      <w:hyperlink r:id="rId1" w:tooltip="Latín" w:history="1">
        <w:r>
          <w:rPr>
            <w:rStyle w:val="Hipervnculo"/>
            <w:rFonts w:ascii="Arial" w:hAnsi="Arial" w:cs="Arial"/>
            <w:sz w:val="16"/>
          </w:rPr>
          <w:t>Latín</w:t>
        </w:r>
      </w:hyperlink>
      <w:r>
        <w:rPr>
          <w:rFonts w:ascii="Arial" w:hAnsi="Arial" w:cs="Arial"/>
          <w:sz w:val="16"/>
        </w:rPr>
        <w:t xml:space="preserve"> </w:t>
      </w:r>
      <w:r>
        <w:rPr>
          <w:rFonts w:ascii="Arial" w:hAnsi="Arial" w:cs="Arial"/>
          <w:i/>
          <w:iCs/>
          <w:sz w:val="16"/>
        </w:rPr>
        <w:t>quod</w:t>
      </w:r>
      <w:r>
        <w:rPr>
          <w:rFonts w:ascii="Arial" w:hAnsi="Arial" w:cs="Arial"/>
          <w:sz w:val="16"/>
        </w:rPr>
        <w:t xml:space="preserve">=qué y </w:t>
      </w:r>
      <w:r>
        <w:rPr>
          <w:rFonts w:ascii="Arial" w:hAnsi="Arial" w:cs="Arial"/>
          <w:i/>
          <w:iCs/>
          <w:sz w:val="16"/>
        </w:rPr>
        <w:t>libet</w:t>
      </w:r>
      <w:r>
        <w:rPr>
          <w:rFonts w:ascii="Arial" w:hAnsi="Arial" w:cs="Arial"/>
          <w:sz w:val="16"/>
        </w:rPr>
        <w:t>=libertad.</w:t>
      </w:r>
      <w:r>
        <w:rPr>
          <w:rFonts w:ascii="Arial" w:hAnsi="Arial" w:cs="Arial"/>
          <w:b/>
          <w:bCs/>
          <w:sz w:val="16"/>
        </w:rPr>
        <w:t>Quodlibet</w:t>
      </w:r>
      <w:r>
        <w:rPr>
          <w:rFonts w:ascii="Arial" w:hAnsi="Arial" w:cs="Arial"/>
          <w:sz w:val="16"/>
        </w:rPr>
        <w:t xml:space="preserve"> refiere también a una forma de desempeño académico o examen oral (usualmente </w:t>
      </w:r>
      <w:hyperlink r:id="rId2" w:tooltip="Teología" w:history="1">
        <w:r>
          <w:rPr>
            <w:rStyle w:val="Hipervnculo"/>
            <w:rFonts w:ascii="Arial" w:hAnsi="Arial" w:cs="Arial"/>
            <w:sz w:val="16"/>
          </w:rPr>
          <w:t>teológico</w:t>
        </w:r>
      </w:hyperlink>
      <w:r>
        <w:rPr>
          <w:rFonts w:ascii="Arial" w:hAnsi="Arial" w:cs="Arial"/>
          <w:sz w:val="16"/>
        </w:rPr>
        <w:t xml:space="preserve">) en la que cualquier pregunta puede ser presentada en forma extemporánea. Durante el Siglo XIII eran populares los debates estilo </w:t>
      </w:r>
      <w:r>
        <w:rPr>
          <w:rFonts w:ascii="Arial" w:hAnsi="Arial" w:cs="Arial"/>
          <w:i/>
          <w:iCs/>
          <w:sz w:val="16"/>
        </w:rPr>
        <w:t>quodlibet</w:t>
      </w:r>
      <w:r>
        <w:rPr>
          <w:rFonts w:ascii="Arial" w:hAnsi="Arial" w:cs="Arial"/>
          <w:sz w:val="16"/>
        </w:rPr>
        <w:t xml:space="preserve"> </w:t>
      </w:r>
    </w:p>
    <w:p w:rsidR="009C7596" w:rsidRDefault="009C7596" w:rsidP="009C7596">
      <w:pPr>
        <w:pStyle w:val="NormalWeb"/>
        <w:rPr>
          <w:rFonts w:ascii="Arial" w:hAnsi="Arial" w:cs="Arial"/>
          <w:sz w:val="16"/>
        </w:rPr>
      </w:pPr>
    </w:p>
    <w:p w:rsidR="009C7596" w:rsidRDefault="009C7596" w:rsidP="009C7596">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80"/>
    <w:rsid w:val="008A2FBC"/>
    <w:rsid w:val="00904A80"/>
    <w:rsid w:val="009C7596"/>
    <w:rsid w:val="00AC3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68E0D-F735-4E18-87E2-9A8A6F7C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59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C7596"/>
    <w:pPr>
      <w:keepNext/>
      <w:ind w:left="-1080" w:right="-1036"/>
      <w:jc w:val="center"/>
      <w:outlineLvl w:val="0"/>
    </w:pPr>
    <w:rPr>
      <w:b/>
      <w:bCs/>
      <w:u w:val="single"/>
      <w:lang w:val="es-ES_tradnl"/>
    </w:rPr>
  </w:style>
  <w:style w:type="paragraph" w:styleId="Ttulo2">
    <w:name w:val="heading 2"/>
    <w:basedOn w:val="Normal"/>
    <w:next w:val="Normal"/>
    <w:link w:val="Ttulo2Car"/>
    <w:semiHidden/>
    <w:unhideWhenUsed/>
    <w:qFormat/>
    <w:rsid w:val="009C7596"/>
    <w:pPr>
      <w:keepNext/>
      <w:ind w:left="-1080" w:right="-1036"/>
      <w:jc w:val="both"/>
      <w:outlineLvl w:val="1"/>
    </w:pPr>
    <w:rPr>
      <w:b/>
      <w:bCs/>
      <w:sz w:val="28"/>
      <w:lang w:val="es-ES_tradnl"/>
    </w:rPr>
  </w:style>
  <w:style w:type="paragraph" w:styleId="Ttulo3">
    <w:name w:val="heading 3"/>
    <w:basedOn w:val="Normal"/>
    <w:next w:val="Normal"/>
    <w:link w:val="Ttulo3Car"/>
    <w:semiHidden/>
    <w:unhideWhenUsed/>
    <w:qFormat/>
    <w:rsid w:val="009C7596"/>
    <w:pPr>
      <w:keepNext/>
      <w:ind w:left="-1080"/>
      <w:jc w:val="center"/>
      <w:outlineLvl w:val="2"/>
    </w:pPr>
    <w:rPr>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C7596"/>
    <w:rPr>
      <w:rFonts w:ascii="Times New Roman" w:eastAsia="Times New Roman" w:hAnsi="Times New Roman" w:cs="Times New Roman"/>
      <w:b/>
      <w:bCs/>
      <w:sz w:val="24"/>
      <w:szCs w:val="24"/>
      <w:u w:val="single"/>
      <w:lang w:val="es-ES_tradnl" w:eastAsia="es-ES"/>
    </w:rPr>
  </w:style>
  <w:style w:type="character" w:customStyle="1" w:styleId="Ttulo2Car">
    <w:name w:val="Título 2 Car"/>
    <w:basedOn w:val="Fuentedeprrafopredeter"/>
    <w:link w:val="Ttulo2"/>
    <w:semiHidden/>
    <w:rsid w:val="009C7596"/>
    <w:rPr>
      <w:rFonts w:ascii="Times New Roman" w:eastAsia="Times New Roman" w:hAnsi="Times New Roman" w:cs="Times New Roman"/>
      <w:b/>
      <w:bCs/>
      <w:sz w:val="28"/>
      <w:szCs w:val="24"/>
      <w:lang w:val="es-ES_tradnl" w:eastAsia="es-ES"/>
    </w:rPr>
  </w:style>
  <w:style w:type="character" w:customStyle="1" w:styleId="Ttulo3Car">
    <w:name w:val="Título 3 Car"/>
    <w:basedOn w:val="Fuentedeprrafopredeter"/>
    <w:link w:val="Ttulo3"/>
    <w:semiHidden/>
    <w:rsid w:val="009C7596"/>
    <w:rPr>
      <w:rFonts w:ascii="Times New Roman" w:eastAsia="Times New Roman" w:hAnsi="Times New Roman" w:cs="Times New Roman"/>
      <w:b/>
      <w:bCs/>
      <w:sz w:val="28"/>
      <w:szCs w:val="24"/>
      <w:u w:val="single"/>
      <w:lang w:val="es-ES_tradnl" w:eastAsia="es-ES"/>
    </w:rPr>
  </w:style>
  <w:style w:type="character" w:styleId="Hipervnculo">
    <w:name w:val="Hyperlink"/>
    <w:semiHidden/>
    <w:unhideWhenUsed/>
    <w:rsid w:val="009C7596"/>
    <w:rPr>
      <w:strike w:val="0"/>
      <w:dstrike w:val="0"/>
      <w:color w:val="0000FF"/>
      <w:u w:val="none"/>
      <w:effect w:val="none"/>
    </w:rPr>
  </w:style>
  <w:style w:type="paragraph" w:styleId="NormalWeb">
    <w:name w:val="Normal (Web)"/>
    <w:basedOn w:val="Normal"/>
    <w:semiHidden/>
    <w:unhideWhenUsed/>
    <w:rsid w:val="009C7596"/>
    <w:pPr>
      <w:spacing w:before="100" w:beforeAutospacing="1" w:after="100" w:afterAutospacing="1"/>
    </w:pPr>
    <w:rPr>
      <w:rFonts w:ascii="Arial Unicode MS" w:eastAsia="Arial Unicode MS" w:hAnsi="Arial Unicode MS" w:cs="Arial Unicode MS"/>
    </w:rPr>
  </w:style>
  <w:style w:type="paragraph" w:styleId="Textonotapie">
    <w:name w:val="footnote text"/>
    <w:basedOn w:val="Normal"/>
    <w:link w:val="TextonotapieCar"/>
    <w:semiHidden/>
    <w:unhideWhenUsed/>
    <w:rsid w:val="009C7596"/>
    <w:rPr>
      <w:sz w:val="20"/>
      <w:szCs w:val="20"/>
    </w:rPr>
  </w:style>
  <w:style w:type="character" w:customStyle="1" w:styleId="TextonotapieCar">
    <w:name w:val="Texto nota pie Car"/>
    <w:basedOn w:val="Fuentedeprrafopredeter"/>
    <w:link w:val="Textonotapie"/>
    <w:semiHidden/>
    <w:rsid w:val="009C759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semiHidden/>
    <w:unhideWhenUsed/>
    <w:rsid w:val="009C7596"/>
    <w:pPr>
      <w:ind w:left="-1080"/>
      <w:jc w:val="both"/>
    </w:pPr>
    <w:rPr>
      <w:b/>
      <w:bCs/>
      <w:sz w:val="28"/>
      <w:lang w:val="es-ES_tradnl"/>
    </w:rPr>
  </w:style>
  <w:style w:type="character" w:customStyle="1" w:styleId="SangradetextonormalCar">
    <w:name w:val="Sangría de texto normal Car"/>
    <w:basedOn w:val="Fuentedeprrafopredeter"/>
    <w:link w:val="Sangradetextonormal"/>
    <w:semiHidden/>
    <w:rsid w:val="009C7596"/>
    <w:rPr>
      <w:rFonts w:ascii="Times New Roman" w:eastAsia="Times New Roman" w:hAnsi="Times New Roman" w:cs="Times New Roman"/>
      <w:b/>
      <w:bCs/>
      <w:sz w:val="28"/>
      <w:szCs w:val="24"/>
      <w:lang w:val="es-ES_tradnl" w:eastAsia="es-ES"/>
    </w:rPr>
  </w:style>
  <w:style w:type="paragraph" w:styleId="Textodebloque">
    <w:name w:val="Block Text"/>
    <w:basedOn w:val="Normal"/>
    <w:semiHidden/>
    <w:unhideWhenUsed/>
    <w:rsid w:val="009C7596"/>
    <w:pPr>
      <w:ind w:left="-1080" w:right="-1036"/>
      <w:jc w:val="both"/>
    </w:pPr>
    <w:rPr>
      <w:b/>
      <w:bCs/>
      <w:sz w:val="28"/>
      <w:lang w:val="es-ES_tradnl"/>
    </w:rPr>
  </w:style>
  <w:style w:type="character" w:styleId="Refdenotaalpie">
    <w:name w:val="footnote reference"/>
    <w:semiHidden/>
    <w:unhideWhenUsed/>
    <w:rsid w:val="009C7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1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es.wikipedia.org/wiki/Teolog%C3%ADa" TargetMode="External"/><Relationship Id="rId1" Type="http://schemas.openxmlformats.org/officeDocument/2006/relationships/hyperlink" Target="http://es.wikipedia.org/wiki/Lat%C3%AD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10351</Characters>
  <Application>Microsoft Office Word</Application>
  <DocSecurity>0</DocSecurity>
  <Lines>86</Lines>
  <Paragraphs>24</Paragraphs>
  <ScaleCrop>false</ScaleCrop>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avelino maciel</dc:creator>
  <cp:keywords/>
  <dc:description/>
  <cp:lastModifiedBy>silvio avelino maciel</cp:lastModifiedBy>
  <cp:revision>2</cp:revision>
  <dcterms:created xsi:type="dcterms:W3CDTF">2020-08-23T20:38:00Z</dcterms:created>
  <dcterms:modified xsi:type="dcterms:W3CDTF">2020-08-23T20:38:00Z</dcterms:modified>
</cp:coreProperties>
</file>