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49" w:rsidRPr="00EE587E" w:rsidRDefault="00535849" w:rsidP="00535849">
      <w:pPr>
        <w:rPr>
          <w:rFonts w:ascii="Garamond" w:hAnsi="Garamond"/>
          <w:b/>
          <w:sz w:val="28"/>
          <w:szCs w:val="28"/>
          <w:u w:val="single"/>
          <w:lang w:val="es-ES"/>
        </w:rPr>
      </w:pPr>
      <w:r w:rsidRPr="00D1249F">
        <w:rPr>
          <w:rFonts w:ascii="Garamond" w:hAnsi="Garamond"/>
          <w:b/>
          <w:noProof/>
          <w:sz w:val="28"/>
          <w:szCs w:val="28"/>
          <w:u w:val="single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C066B0A" wp14:editId="6D452450">
            <wp:simplePos x="0" y="0"/>
            <wp:positionH relativeFrom="margin">
              <wp:posOffset>4305300</wp:posOffset>
            </wp:positionH>
            <wp:positionV relativeFrom="margin">
              <wp:align>top</wp:align>
            </wp:positionV>
            <wp:extent cx="1889760" cy="1884045"/>
            <wp:effectExtent l="0" t="0" r="0" b="1905"/>
            <wp:wrapSquare wrapText="bothSides"/>
            <wp:docPr id="1030" name="Picture 6" descr="http://www.nihao.com.mx/img/kid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www.nihao.com.mx/img/kids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40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sz w:val="28"/>
          <w:szCs w:val="28"/>
          <w:u w:val="single"/>
        </w:rPr>
        <w:t>Clase 20</w:t>
      </w:r>
      <w:r w:rsidRPr="00C03AE1">
        <w:rPr>
          <w:rFonts w:ascii="Garamond" w:hAnsi="Garamond"/>
          <w:b/>
          <w:sz w:val="28"/>
          <w:szCs w:val="28"/>
          <w:u w:val="single"/>
        </w:rPr>
        <w:t xml:space="preserve">: </w:t>
      </w:r>
    </w:p>
    <w:p w:rsidR="00535849" w:rsidRPr="002A03FE" w:rsidRDefault="00535849" w:rsidP="00535849">
      <w:pPr>
        <w:shd w:val="clear" w:color="auto" w:fill="9CC2E5" w:themeFill="accent1" w:themeFillTint="99"/>
        <w:jc w:val="both"/>
        <w:rPr>
          <w:rFonts w:ascii="Georgia" w:hAnsi="Georgia"/>
          <w:b/>
          <w:sz w:val="24"/>
          <w:szCs w:val="24"/>
          <w:lang w:val="es-ES"/>
        </w:rPr>
      </w:pPr>
      <w:r>
        <w:rPr>
          <w:rFonts w:ascii="Georgia" w:hAnsi="Georgia"/>
          <w:b/>
          <w:sz w:val="24"/>
          <w:szCs w:val="24"/>
        </w:rPr>
        <w:t>El pensamiento del niño de 6 a 12 años</w:t>
      </w:r>
    </w:p>
    <w:p w:rsidR="00535849" w:rsidRDefault="00535849" w:rsidP="00535849">
      <w:pPr>
        <w:jc w:val="both"/>
        <w:rPr>
          <w:rFonts w:ascii="Georgia" w:hAnsi="Georgia"/>
          <w:b/>
          <w:sz w:val="24"/>
          <w:szCs w:val="24"/>
          <w:u w:val="single"/>
        </w:rPr>
      </w:pPr>
    </w:p>
    <w:p w:rsidR="00535849" w:rsidRDefault="00535849" w:rsidP="00535849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Hola a todos</w:t>
      </w:r>
      <w:proofErr w:type="gramStart"/>
      <w:r>
        <w:rPr>
          <w:rFonts w:ascii="Georgia" w:hAnsi="Georgia"/>
          <w:sz w:val="24"/>
          <w:szCs w:val="24"/>
        </w:rPr>
        <w:t>!</w:t>
      </w:r>
      <w:proofErr w:type="gramEnd"/>
      <w:r>
        <w:rPr>
          <w:rFonts w:ascii="Georgia" w:hAnsi="Georgia"/>
          <w:sz w:val="24"/>
          <w:szCs w:val="24"/>
        </w:rPr>
        <w:t xml:space="preserve"> Espero que estén muy bien y cuidándose</w:t>
      </w:r>
      <w:proofErr w:type="gramStart"/>
      <w:r>
        <w:rPr>
          <w:rFonts w:ascii="Georgia" w:hAnsi="Georgia"/>
          <w:sz w:val="24"/>
          <w:szCs w:val="24"/>
        </w:rPr>
        <w:t>!</w:t>
      </w:r>
      <w:proofErr w:type="gramEnd"/>
    </w:p>
    <w:p w:rsidR="00535849" w:rsidRDefault="00535849" w:rsidP="00535849">
      <w:pPr>
        <w:jc w:val="both"/>
        <w:rPr>
          <w:rFonts w:ascii="Georgia" w:hAnsi="Georgia"/>
          <w:sz w:val="24"/>
          <w:szCs w:val="24"/>
        </w:rPr>
      </w:pP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En esta clase vamos a dar continuidad al desarrollo del pensamiento del niño, precisamente en la 3era infancia, es decir de 6 a 12 años. </w:t>
      </w:r>
      <w:r w:rsidRPr="004237B8">
        <w:rPr>
          <w:rFonts w:ascii="Georgia" w:hAnsi="Georgia"/>
          <w:sz w:val="24"/>
          <w:szCs w:val="24"/>
        </w:rPr>
        <w:t>Los niños en la etapa de las operaciones concretas pueden realizar muchas tareas a un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nivel muy superior al que lo ha</w:t>
      </w:r>
      <w:r>
        <w:rPr>
          <w:rFonts w:ascii="Georgia" w:hAnsi="Georgia"/>
          <w:sz w:val="24"/>
          <w:szCs w:val="24"/>
        </w:rPr>
        <w:t xml:space="preserve">cían en la etapa </w:t>
      </w:r>
      <w:proofErr w:type="spellStart"/>
      <w:r>
        <w:rPr>
          <w:rFonts w:ascii="Georgia" w:hAnsi="Georgia"/>
          <w:sz w:val="24"/>
          <w:szCs w:val="24"/>
        </w:rPr>
        <w:t>preoperacional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  <w:r w:rsidRPr="004237B8">
        <w:rPr>
          <w:rFonts w:ascii="Georgia" w:hAnsi="Georgia"/>
          <w:sz w:val="24"/>
          <w:szCs w:val="24"/>
        </w:rPr>
        <w:t>Tienen una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mejor comprensión de conceptos espaciales y de causalidad, categorización, razonamiento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inductivo y deductivo, conservación y número.</w:t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Para arrancar podríamos recordar cómo evolucionan los esquemas de la inteligencia a medida que transcurre la infancia del niño:</w:t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535849" w:rsidRPr="00950E98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D1249F">
        <w:rPr>
          <w:rFonts w:ascii="Georgia" w:hAnsi="Georgia"/>
          <w:noProof/>
          <w:sz w:val="24"/>
          <w:szCs w:val="24"/>
          <w:lang w:val="es-ES" w:eastAsia="es-ES"/>
        </w:rPr>
        <w:drawing>
          <wp:inline distT="0" distB="0" distL="0" distR="0" wp14:anchorId="108F0E6C" wp14:editId="5B28F45D">
            <wp:extent cx="6196965" cy="3859530"/>
            <wp:effectExtent l="0" t="0" r="0" b="7620"/>
            <wp:docPr id="4" name="Marcador de conteni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dor de contenido 3"/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Una vez que el niño adquiere la reversibilidad, sobre el final del pensamiento pre operatorio, su pensamiento cambia, se vuelve lógico, más ordenado y sistemático, más flexible pero aún con la limitación de referirse a cuestiones concretas. </w:t>
      </w:r>
      <w:proofErr w:type="spellStart"/>
      <w:r>
        <w:rPr>
          <w:rFonts w:ascii="Georgia" w:hAnsi="Georgia"/>
          <w:sz w:val="24"/>
          <w:szCs w:val="24"/>
        </w:rPr>
        <w:t>Papalia</w:t>
      </w:r>
      <w:proofErr w:type="spellEnd"/>
      <w:r>
        <w:rPr>
          <w:rFonts w:ascii="Georgia" w:hAnsi="Georgia"/>
          <w:sz w:val="24"/>
          <w:szCs w:val="24"/>
        </w:rPr>
        <w:t xml:space="preserve"> nos señala los siguientes logros en esta etapa:</w:t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535849" w:rsidRPr="004237B8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24"/>
          <w:szCs w:val="24"/>
        </w:rPr>
      </w:pPr>
      <w:r w:rsidRPr="004237B8">
        <w:rPr>
          <w:rFonts w:ascii="Georgia" w:hAnsi="Georgia"/>
          <w:b/>
          <w:sz w:val="24"/>
          <w:szCs w:val="24"/>
        </w:rPr>
        <w:t>Espacio y causalidad</w:t>
      </w:r>
    </w:p>
    <w:p w:rsidR="00535849" w:rsidRPr="004237B8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237B8">
        <w:rPr>
          <w:rFonts w:ascii="Georgia" w:hAnsi="Georgia"/>
          <w:sz w:val="24"/>
          <w:szCs w:val="24"/>
        </w:rPr>
        <w:t>¿Por qué razón es que muchos niños de seis y siete años de edad pueden encontrar el camino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de y hacia la escuela mientras que la mayoría de los niños menores no puede hacerlo?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 xml:space="preserve">Una razón es que los niños en la etapa de las operaciones concretas pueden </w:t>
      </w:r>
      <w:r w:rsidRPr="004237B8">
        <w:rPr>
          <w:rFonts w:ascii="Georgia" w:hAnsi="Georgia"/>
          <w:sz w:val="24"/>
          <w:szCs w:val="24"/>
        </w:rPr>
        <w:lastRenderedPageBreak/>
        <w:t>comprender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las relaciones espaciales de mejor manera. Tienen una idea más clara de qué distancia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existe entre un sitio y otro y de qué tanto tiempo les llevará llegar allí, además de que pueden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recordar con mayor facilidad la ruta y los puntos de referencia que existen a lo largo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del camino. La experiencia desempeña un papel en este desarrollo: un niño que camina a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la escuela se familiariza con el vecindario.</w:t>
      </w:r>
    </w:p>
    <w:p w:rsidR="00535849" w:rsidRPr="004237B8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sz w:val="24"/>
          <w:szCs w:val="24"/>
        </w:rPr>
      </w:pPr>
      <w:r w:rsidRPr="004237B8">
        <w:rPr>
          <w:rFonts w:ascii="Georgia" w:hAnsi="Georgia"/>
          <w:sz w:val="24"/>
          <w:szCs w:val="24"/>
        </w:rPr>
        <w:t>Tanto la capacidad de comprender mapas y modelos como la capacidad de comunicar</w:t>
      </w:r>
    </w:p>
    <w:p w:rsidR="00535849" w:rsidRPr="004237B8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gramStart"/>
      <w:r w:rsidRPr="004237B8">
        <w:rPr>
          <w:rFonts w:ascii="Georgia" w:hAnsi="Georgia"/>
          <w:sz w:val="24"/>
          <w:szCs w:val="24"/>
        </w:rPr>
        <w:t>la</w:t>
      </w:r>
      <w:proofErr w:type="gramEnd"/>
      <w:r w:rsidRPr="004237B8">
        <w:rPr>
          <w:rFonts w:ascii="Georgia" w:hAnsi="Georgia"/>
          <w:sz w:val="24"/>
          <w:szCs w:val="24"/>
        </w:rPr>
        <w:t xml:space="preserve"> información espacial mejoran con la edad (</w:t>
      </w:r>
      <w:proofErr w:type="spellStart"/>
      <w:r w:rsidRPr="004237B8">
        <w:rPr>
          <w:rFonts w:ascii="Georgia" w:hAnsi="Georgia"/>
          <w:sz w:val="24"/>
          <w:szCs w:val="24"/>
        </w:rPr>
        <w:t>Gauva</w:t>
      </w:r>
      <w:r>
        <w:rPr>
          <w:rFonts w:ascii="Georgia" w:hAnsi="Georgia"/>
          <w:sz w:val="24"/>
          <w:szCs w:val="24"/>
        </w:rPr>
        <w:t>in</w:t>
      </w:r>
      <w:proofErr w:type="spellEnd"/>
      <w:r>
        <w:rPr>
          <w:rFonts w:ascii="Georgia" w:hAnsi="Georgia"/>
          <w:sz w:val="24"/>
          <w:szCs w:val="24"/>
        </w:rPr>
        <w:t xml:space="preserve">, 1993). También lo hacen los </w:t>
      </w:r>
      <w:r w:rsidRPr="004237B8">
        <w:rPr>
          <w:rFonts w:ascii="Georgia" w:hAnsi="Georgia"/>
          <w:sz w:val="24"/>
          <w:szCs w:val="24"/>
        </w:rPr>
        <w:t>juicios en cuanto a causa y efecto. Cuando se les preguntó a niños entre los cinco y los 12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años de edad cómo funcionaría una balanza de brazos y platillos bajo diversas condiciones,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los niños de mayor edad dieron respuestas más acertadas. Los niños comprendieron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la influencia de los atributos físicos (el número de objetos a cada lado de la balanza) antes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de poder reconocer la influencia de los factores espaciales (la distancia de los objetos en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relación con el centro de la balanza) (</w:t>
      </w:r>
      <w:proofErr w:type="spellStart"/>
      <w:r w:rsidRPr="004237B8">
        <w:rPr>
          <w:rFonts w:ascii="Georgia" w:hAnsi="Georgia"/>
          <w:sz w:val="24"/>
          <w:szCs w:val="24"/>
        </w:rPr>
        <w:t>Amsel</w:t>
      </w:r>
      <w:proofErr w:type="spellEnd"/>
      <w:r w:rsidRPr="004237B8">
        <w:rPr>
          <w:rFonts w:ascii="Georgia" w:hAnsi="Georgia"/>
          <w:sz w:val="24"/>
          <w:szCs w:val="24"/>
        </w:rPr>
        <w:t>, Goodman, Savoie y Clark, 1996).</w:t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535849" w:rsidRPr="004237B8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24"/>
          <w:szCs w:val="24"/>
        </w:rPr>
      </w:pPr>
      <w:r w:rsidRPr="004237B8">
        <w:rPr>
          <w:rFonts w:ascii="Georgia" w:hAnsi="Georgia"/>
          <w:b/>
          <w:sz w:val="24"/>
          <w:szCs w:val="24"/>
        </w:rPr>
        <w:t>Categorización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237B8">
        <w:rPr>
          <w:rFonts w:ascii="Georgia" w:hAnsi="Georgia"/>
          <w:sz w:val="24"/>
          <w:szCs w:val="24"/>
        </w:rPr>
        <w:t xml:space="preserve">La capacidad para categorizar ayuda a los niños a pensar de manera lógica. La </w:t>
      </w:r>
      <w:r>
        <w:rPr>
          <w:rFonts w:ascii="Georgia" w:hAnsi="Georgia"/>
          <w:sz w:val="24"/>
          <w:szCs w:val="24"/>
        </w:rPr>
        <w:t>c</w:t>
      </w:r>
      <w:r w:rsidRPr="004237B8">
        <w:rPr>
          <w:rFonts w:ascii="Georgia" w:hAnsi="Georgia"/>
          <w:sz w:val="24"/>
          <w:szCs w:val="24"/>
        </w:rPr>
        <w:t>ategorización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>incluye capacidades relativamente sofisticadas, tales como seriación, inferencia</w:t>
      </w:r>
      <w:r>
        <w:rPr>
          <w:rFonts w:ascii="Georgia" w:hAnsi="Georgia"/>
          <w:sz w:val="24"/>
          <w:szCs w:val="24"/>
        </w:rPr>
        <w:t xml:space="preserve"> </w:t>
      </w:r>
      <w:r w:rsidRPr="004237B8">
        <w:rPr>
          <w:rFonts w:ascii="Georgia" w:hAnsi="Georgia"/>
          <w:sz w:val="24"/>
          <w:szCs w:val="24"/>
        </w:rPr>
        <w:t xml:space="preserve">transitiva e inclusión de clase, mismas que mejoran de manera gradual entre la segunda </w:t>
      </w:r>
      <w:proofErr w:type="spellStart"/>
      <w:r w:rsidRPr="004237B8">
        <w:rPr>
          <w:rFonts w:ascii="Georgia" w:hAnsi="Georgia"/>
          <w:sz w:val="24"/>
          <w:szCs w:val="24"/>
        </w:rPr>
        <w:t>y</w:t>
      </w:r>
      <w:r w:rsidRPr="00F91354">
        <w:rPr>
          <w:rFonts w:ascii="Georgia" w:hAnsi="Georgia"/>
          <w:sz w:val="24"/>
          <w:szCs w:val="24"/>
        </w:rPr>
        <w:t>la</w:t>
      </w:r>
      <w:proofErr w:type="spellEnd"/>
      <w:r w:rsidRPr="00F91354">
        <w:rPr>
          <w:rFonts w:ascii="Georgia" w:hAnsi="Georgia"/>
          <w:sz w:val="24"/>
          <w:szCs w:val="24"/>
        </w:rPr>
        <w:t xml:space="preserve"> tercera infancia. Los niños demuestran que comprenden la seriación cuando disponen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los objetos de una serie de acuerdo con una o más dimensiones, tales como longitud (del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más corto al más largo), o color (del más claro al más oscuro). Para los siete u ocho años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de edad, los niños pueden comprender las relaciones que existen entre un grupo de palitos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a primera vista y disponerlos según su tamaño (Piaget, 1952).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>La inferencia transitiva es la capacidad de inferir una relación entre dos objetos a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partir de la relación que cada uno de ellos tiene con un tercero. A Catherine se le muestran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tres palitos: uno amarillo, uno verde y uno azul. Se le muestra que el amarillo es más largo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que el verde y que el verde es más largo que el azul. Sin comparar los palitos amarillo y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gramStart"/>
      <w:r w:rsidRPr="00F91354">
        <w:rPr>
          <w:rFonts w:ascii="Georgia" w:hAnsi="Georgia"/>
          <w:sz w:val="24"/>
          <w:szCs w:val="24"/>
        </w:rPr>
        <w:t>azul</w:t>
      </w:r>
      <w:proofErr w:type="gramEnd"/>
      <w:r w:rsidRPr="00F91354">
        <w:rPr>
          <w:rFonts w:ascii="Georgia" w:hAnsi="Georgia"/>
          <w:sz w:val="24"/>
          <w:szCs w:val="24"/>
        </w:rPr>
        <w:t xml:space="preserve">, inmediatamente indica que el amarillo es más largo que el azul (Chapman y </w:t>
      </w:r>
      <w:proofErr w:type="spellStart"/>
      <w:r w:rsidRPr="00F91354">
        <w:rPr>
          <w:rFonts w:ascii="Georgia" w:hAnsi="Georgia"/>
          <w:sz w:val="24"/>
          <w:szCs w:val="24"/>
        </w:rPr>
        <w:t>Lindenberger</w:t>
      </w:r>
      <w:proofErr w:type="spellEnd"/>
      <w:r w:rsidRPr="00F91354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 xml:space="preserve">1988; Piaget e </w:t>
      </w:r>
      <w:proofErr w:type="spellStart"/>
      <w:r w:rsidRPr="00F91354">
        <w:rPr>
          <w:rFonts w:ascii="Georgia" w:hAnsi="Georgia"/>
          <w:sz w:val="24"/>
          <w:szCs w:val="24"/>
        </w:rPr>
        <w:t>Inhelder</w:t>
      </w:r>
      <w:proofErr w:type="spellEnd"/>
      <w:r w:rsidRPr="00F91354">
        <w:rPr>
          <w:rFonts w:ascii="Georgia" w:hAnsi="Georgia"/>
          <w:sz w:val="24"/>
          <w:szCs w:val="24"/>
        </w:rPr>
        <w:t>, 1967).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>La inclusión de clase es la capacidad de ver la relación entre un todo y sus partes.</w:t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 xml:space="preserve">Piaget (1964) mostró a un grupo de niños </w:t>
      </w:r>
      <w:proofErr w:type="spellStart"/>
      <w:r w:rsidRPr="00F91354">
        <w:rPr>
          <w:rFonts w:ascii="Georgia" w:hAnsi="Georgia"/>
          <w:sz w:val="24"/>
          <w:szCs w:val="24"/>
        </w:rPr>
        <w:t>preoperacionales</w:t>
      </w:r>
      <w:proofErr w:type="spellEnd"/>
      <w:r w:rsidRPr="00F91354">
        <w:rPr>
          <w:rFonts w:ascii="Georgia" w:hAnsi="Georgia"/>
          <w:sz w:val="24"/>
          <w:szCs w:val="24"/>
        </w:rPr>
        <w:t xml:space="preserve"> un ramo de 10 flores —siete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rosas y tres claveles— y les preguntó si había más rosas o más flores. Los niños tendían a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decir que había más rosas porque estaban comparando las rosas con los claveles más que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con el ramo completo. No es sino hasta los siete u ocho años de edad, e incluso ni siquiera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en ese momento, que los niños consistentemente razonan que las rosas son una subclase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de flores y que, por lo tanto, no puede haber más rosas que flores (</w:t>
      </w:r>
      <w:proofErr w:type="spellStart"/>
      <w:r w:rsidRPr="00F91354">
        <w:rPr>
          <w:rFonts w:ascii="Georgia" w:hAnsi="Georgia"/>
          <w:sz w:val="24"/>
          <w:szCs w:val="24"/>
        </w:rPr>
        <w:t>Flavell</w:t>
      </w:r>
      <w:proofErr w:type="spellEnd"/>
      <w:r w:rsidRPr="00F91354">
        <w:rPr>
          <w:rFonts w:ascii="Georgia" w:hAnsi="Georgia"/>
          <w:sz w:val="24"/>
          <w:szCs w:val="24"/>
        </w:rPr>
        <w:t xml:space="preserve">, 1963; </w:t>
      </w:r>
      <w:proofErr w:type="spellStart"/>
      <w:r w:rsidRPr="00F91354">
        <w:rPr>
          <w:rFonts w:ascii="Georgia" w:hAnsi="Georgia"/>
          <w:sz w:val="24"/>
          <w:szCs w:val="24"/>
        </w:rPr>
        <w:t>Flavell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et al., 2000). Sin embargo, los niños de incluso tres años de edad exhiben una conciencia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rudimentaria de la inclusión de clase, dependiendo del tipo de tarea, de las claves prácticas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que se les proporcionen y de su familiaridad con la categoría de objetos acerca de los que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 xml:space="preserve">se les someta a prueba (Johnson, Scott y </w:t>
      </w:r>
      <w:proofErr w:type="spellStart"/>
      <w:r w:rsidRPr="00F91354">
        <w:rPr>
          <w:rFonts w:ascii="Georgia" w:hAnsi="Georgia"/>
          <w:sz w:val="24"/>
          <w:szCs w:val="24"/>
        </w:rPr>
        <w:t>Mervis</w:t>
      </w:r>
      <w:proofErr w:type="spellEnd"/>
      <w:r w:rsidRPr="00F91354">
        <w:rPr>
          <w:rFonts w:ascii="Georgia" w:hAnsi="Georgia"/>
          <w:sz w:val="24"/>
          <w:szCs w:val="24"/>
        </w:rPr>
        <w:t>, 1997).</w:t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24"/>
          <w:szCs w:val="24"/>
        </w:rPr>
      </w:pPr>
      <w:r w:rsidRPr="00F91354">
        <w:rPr>
          <w:rFonts w:ascii="Georgia" w:hAnsi="Georgia"/>
          <w:b/>
          <w:sz w:val="24"/>
          <w:szCs w:val="24"/>
        </w:rPr>
        <w:t>Razonamiento</w:t>
      </w:r>
      <w:r>
        <w:rPr>
          <w:rFonts w:ascii="Georgia" w:hAnsi="Georgia"/>
          <w:b/>
          <w:sz w:val="24"/>
          <w:szCs w:val="24"/>
        </w:rPr>
        <w:t xml:space="preserve"> empírico</w:t>
      </w:r>
      <w:r w:rsidRPr="00F91354">
        <w:rPr>
          <w:rFonts w:ascii="Georgia" w:hAnsi="Georgia"/>
          <w:b/>
          <w:sz w:val="24"/>
          <w:szCs w:val="24"/>
        </w:rPr>
        <w:t xml:space="preserve"> inductivo 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>Según Piaget, los niños en la etapa de las operaciones concretas únicamente utilizan el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razonamiento inductivo. A partir de las observaciones de los miembros particulares de una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clase de personas, animales, objetos o sucesos, derivan conclusiones generales acerca de la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totalidad de la clase. (“Mi perro ladra. También lo hacen el perro de Terry y el perro de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Melissa. De modo que parece que todos los perros ladran”.) Las conclusiones inductivas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 xml:space="preserve">deben ser tentativas porque siempre es </w:t>
      </w:r>
      <w:r w:rsidRPr="00F91354">
        <w:rPr>
          <w:rFonts w:ascii="Georgia" w:hAnsi="Georgia"/>
          <w:sz w:val="24"/>
          <w:szCs w:val="24"/>
        </w:rPr>
        <w:lastRenderedPageBreak/>
        <w:t>posible toparse con información nueva (un perro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que no ladre) que no sustente la conclusión.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>El razonamiento deductivo, que Piaget creía que no se desarrollaba sino hasta la adolescencia,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parte de una afirmación general (premisa) acerca de la clase y la aplica a los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miembros particulares de la misma. Si la premisa es cierta para la totalidad de la clase y el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razonamiento es sólido, entonces la conclusión debe ser cierta: “Todos los perros ladran.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Fifí es un perro. Fifí ladra.”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>Investigadores proporcionaron 16 problemas inductivos y deductivos a 16 niños de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proofErr w:type="gramStart"/>
      <w:r w:rsidRPr="00F91354">
        <w:rPr>
          <w:rFonts w:ascii="Georgia" w:hAnsi="Georgia"/>
          <w:sz w:val="24"/>
          <w:szCs w:val="24"/>
        </w:rPr>
        <w:t>jardín</w:t>
      </w:r>
      <w:proofErr w:type="gramEnd"/>
      <w:r w:rsidRPr="00F91354">
        <w:rPr>
          <w:rFonts w:ascii="Georgia" w:hAnsi="Georgia"/>
          <w:sz w:val="24"/>
          <w:szCs w:val="24"/>
        </w:rPr>
        <w:t xml:space="preserve"> de niños, 17 niños de segundo grado, 16 niños de cuarto grado y 17 niños de sexto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grado. Los problemas estaban diseñados de modo que no hicieran referencia a conocimientos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 xml:space="preserve">del mundo real. Por ejemplo, un problema deductivo era: “Todos los </w:t>
      </w:r>
      <w:proofErr w:type="spellStart"/>
      <w:r w:rsidRPr="00F91354">
        <w:rPr>
          <w:rFonts w:ascii="Georgia" w:hAnsi="Georgia"/>
          <w:sz w:val="24"/>
          <w:szCs w:val="24"/>
        </w:rPr>
        <w:t>poggops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 xml:space="preserve">usan botas azules. </w:t>
      </w:r>
      <w:proofErr w:type="spellStart"/>
      <w:r w:rsidRPr="00F91354">
        <w:rPr>
          <w:rFonts w:ascii="Georgia" w:hAnsi="Georgia"/>
          <w:sz w:val="24"/>
          <w:szCs w:val="24"/>
        </w:rPr>
        <w:t>Tombor</w:t>
      </w:r>
      <w:proofErr w:type="spellEnd"/>
      <w:r w:rsidRPr="00F91354">
        <w:rPr>
          <w:rFonts w:ascii="Georgia" w:hAnsi="Georgia"/>
          <w:sz w:val="24"/>
          <w:szCs w:val="24"/>
        </w:rPr>
        <w:t xml:space="preserve"> es un </w:t>
      </w:r>
      <w:proofErr w:type="spellStart"/>
      <w:r w:rsidRPr="00F91354">
        <w:rPr>
          <w:rFonts w:ascii="Georgia" w:hAnsi="Georgia"/>
          <w:sz w:val="24"/>
          <w:szCs w:val="24"/>
        </w:rPr>
        <w:t>poggop</w:t>
      </w:r>
      <w:proofErr w:type="spellEnd"/>
      <w:r w:rsidRPr="00F91354">
        <w:rPr>
          <w:rFonts w:ascii="Georgia" w:hAnsi="Georgia"/>
          <w:sz w:val="24"/>
          <w:szCs w:val="24"/>
        </w:rPr>
        <w:t>. ¿</w:t>
      </w:r>
      <w:proofErr w:type="spellStart"/>
      <w:r w:rsidRPr="00F91354">
        <w:rPr>
          <w:rFonts w:ascii="Georgia" w:hAnsi="Georgia"/>
          <w:sz w:val="24"/>
          <w:szCs w:val="24"/>
        </w:rPr>
        <w:t>Tombor</w:t>
      </w:r>
      <w:proofErr w:type="spellEnd"/>
      <w:r w:rsidRPr="00F91354">
        <w:rPr>
          <w:rFonts w:ascii="Georgia" w:hAnsi="Georgia"/>
          <w:sz w:val="24"/>
          <w:szCs w:val="24"/>
        </w:rPr>
        <w:t xml:space="preserve"> usa botas azules?”. El problema inductivo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correspondiente era “</w:t>
      </w:r>
      <w:proofErr w:type="spellStart"/>
      <w:r w:rsidRPr="00F91354">
        <w:rPr>
          <w:rFonts w:ascii="Georgia" w:hAnsi="Georgia"/>
          <w:sz w:val="24"/>
          <w:szCs w:val="24"/>
        </w:rPr>
        <w:t>Tombor</w:t>
      </w:r>
      <w:proofErr w:type="spellEnd"/>
      <w:r w:rsidRPr="00F91354">
        <w:rPr>
          <w:rFonts w:ascii="Georgia" w:hAnsi="Georgia"/>
          <w:sz w:val="24"/>
          <w:szCs w:val="24"/>
        </w:rPr>
        <w:t xml:space="preserve"> es un </w:t>
      </w:r>
      <w:proofErr w:type="spellStart"/>
      <w:r w:rsidRPr="00F91354">
        <w:rPr>
          <w:rFonts w:ascii="Georgia" w:hAnsi="Georgia"/>
          <w:sz w:val="24"/>
          <w:szCs w:val="24"/>
        </w:rPr>
        <w:t>poggop</w:t>
      </w:r>
      <w:proofErr w:type="spellEnd"/>
      <w:r w:rsidRPr="00F91354">
        <w:rPr>
          <w:rFonts w:ascii="Georgia" w:hAnsi="Georgia"/>
          <w:sz w:val="24"/>
          <w:szCs w:val="24"/>
        </w:rPr>
        <w:t xml:space="preserve">. </w:t>
      </w:r>
      <w:proofErr w:type="spellStart"/>
      <w:r w:rsidRPr="00F91354">
        <w:rPr>
          <w:rFonts w:ascii="Georgia" w:hAnsi="Georgia"/>
          <w:sz w:val="24"/>
          <w:szCs w:val="24"/>
        </w:rPr>
        <w:t>Tombor</w:t>
      </w:r>
      <w:proofErr w:type="spellEnd"/>
      <w:r w:rsidRPr="00F91354">
        <w:rPr>
          <w:rFonts w:ascii="Georgia" w:hAnsi="Georgia"/>
          <w:sz w:val="24"/>
          <w:szCs w:val="24"/>
        </w:rPr>
        <w:t xml:space="preserve"> usa botas azules. ¿Todos los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F91354">
        <w:rPr>
          <w:rFonts w:ascii="Georgia" w:hAnsi="Georgia"/>
          <w:sz w:val="24"/>
          <w:szCs w:val="24"/>
        </w:rPr>
        <w:t>poggops</w:t>
      </w:r>
      <w:proofErr w:type="spellEnd"/>
      <w:r w:rsidRPr="00F91354">
        <w:rPr>
          <w:rFonts w:ascii="Georgia" w:hAnsi="Georgia"/>
          <w:sz w:val="24"/>
          <w:szCs w:val="24"/>
        </w:rPr>
        <w:t xml:space="preserve"> usan botas azules?”. En oposición a la teoría piagetiana, los niños de segundo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grado (aunque no los de jardín de niños) pudieron contestar ambos tipos de problema de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manera correcta (</w:t>
      </w:r>
      <w:proofErr w:type="spellStart"/>
      <w:r w:rsidRPr="00F91354">
        <w:rPr>
          <w:rFonts w:ascii="Georgia" w:hAnsi="Georgia"/>
          <w:sz w:val="24"/>
          <w:szCs w:val="24"/>
        </w:rPr>
        <w:t>Galotti</w:t>
      </w:r>
      <w:proofErr w:type="spellEnd"/>
      <w:r w:rsidRPr="00F91354">
        <w:rPr>
          <w:rFonts w:ascii="Georgia" w:hAnsi="Georgia"/>
          <w:sz w:val="24"/>
          <w:szCs w:val="24"/>
        </w:rPr>
        <w:t xml:space="preserve">, </w:t>
      </w:r>
      <w:proofErr w:type="spellStart"/>
      <w:r w:rsidRPr="00F91354">
        <w:rPr>
          <w:rFonts w:ascii="Georgia" w:hAnsi="Georgia"/>
          <w:sz w:val="24"/>
          <w:szCs w:val="24"/>
        </w:rPr>
        <w:t>Komatsu</w:t>
      </w:r>
      <w:proofErr w:type="spellEnd"/>
      <w:r w:rsidRPr="00F91354">
        <w:rPr>
          <w:rFonts w:ascii="Georgia" w:hAnsi="Georgia"/>
          <w:sz w:val="24"/>
          <w:szCs w:val="24"/>
        </w:rPr>
        <w:t xml:space="preserve"> y </w:t>
      </w:r>
      <w:proofErr w:type="spellStart"/>
      <w:r w:rsidRPr="00F91354">
        <w:rPr>
          <w:rFonts w:ascii="Georgia" w:hAnsi="Georgia"/>
          <w:sz w:val="24"/>
          <w:szCs w:val="24"/>
        </w:rPr>
        <w:t>Voelz</w:t>
      </w:r>
      <w:proofErr w:type="spellEnd"/>
      <w:r w:rsidRPr="00F91354">
        <w:rPr>
          <w:rFonts w:ascii="Georgia" w:hAnsi="Georgia"/>
          <w:sz w:val="24"/>
          <w:szCs w:val="24"/>
        </w:rPr>
        <w:t>, 1997).</w:t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24"/>
          <w:szCs w:val="24"/>
        </w:rPr>
      </w:pPr>
      <w:r w:rsidRPr="00F91354">
        <w:rPr>
          <w:rFonts w:ascii="Georgia" w:hAnsi="Georgia"/>
          <w:b/>
          <w:sz w:val="24"/>
          <w:szCs w:val="24"/>
        </w:rPr>
        <w:t>Conservación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>Al resolver diversos tipos de problemas de conservación (refiérase al capítulo 10), los niños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en la etapa de las operaciones concretas pueden llegar a la respuesta en forma mental;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no es necesario que midan o pesen los objetos.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>Si una de dos bolas idénticas de plastilina se enrolla o amasa en una forma distinta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>(</w:t>
      </w:r>
      <w:proofErr w:type="gramStart"/>
      <w:r w:rsidRPr="00F91354">
        <w:rPr>
          <w:rFonts w:ascii="Georgia" w:hAnsi="Georgia"/>
          <w:sz w:val="24"/>
          <w:szCs w:val="24"/>
        </w:rPr>
        <w:t>digamos</w:t>
      </w:r>
      <w:proofErr w:type="gramEnd"/>
      <w:r w:rsidRPr="00F91354">
        <w:rPr>
          <w:rFonts w:ascii="Georgia" w:hAnsi="Georgia"/>
          <w:sz w:val="24"/>
          <w:szCs w:val="24"/>
        </w:rPr>
        <w:t xml:space="preserve"> en una salchicha larga y delgada) Felipe, quien se encuentra en la etapa de las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operaciones concretas, dirá que la bola y la salchicha siguen conteniendo la misma cantidad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 xml:space="preserve">de plastilina. </w:t>
      </w:r>
      <w:proofErr w:type="spellStart"/>
      <w:r w:rsidRPr="00F91354">
        <w:rPr>
          <w:rFonts w:ascii="Georgia" w:hAnsi="Georgia"/>
          <w:sz w:val="24"/>
          <w:szCs w:val="24"/>
        </w:rPr>
        <w:t>Stacy</w:t>
      </w:r>
      <w:proofErr w:type="spellEnd"/>
      <w:r w:rsidRPr="00F91354">
        <w:rPr>
          <w:rFonts w:ascii="Georgia" w:hAnsi="Georgia"/>
          <w:sz w:val="24"/>
          <w:szCs w:val="24"/>
        </w:rPr>
        <w:t xml:space="preserve">, que se encuentra en la etapa </w:t>
      </w:r>
      <w:proofErr w:type="spellStart"/>
      <w:r w:rsidRPr="00F91354">
        <w:rPr>
          <w:rFonts w:ascii="Georgia" w:hAnsi="Georgia"/>
          <w:sz w:val="24"/>
          <w:szCs w:val="24"/>
        </w:rPr>
        <w:t>preoperacional</w:t>
      </w:r>
      <w:proofErr w:type="spellEnd"/>
      <w:r w:rsidRPr="00F91354">
        <w:rPr>
          <w:rFonts w:ascii="Georgia" w:hAnsi="Georgia"/>
          <w:sz w:val="24"/>
          <w:szCs w:val="24"/>
        </w:rPr>
        <w:t>, se ve engañada por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las apariencias. Dirá que la salchicha delgada y larga contiene más plastilina porque tiene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una mayor longitud.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 xml:space="preserve">Felipe, a diferencia de </w:t>
      </w:r>
      <w:proofErr w:type="spellStart"/>
      <w:r w:rsidRPr="00F91354">
        <w:rPr>
          <w:rFonts w:ascii="Georgia" w:hAnsi="Georgia"/>
          <w:sz w:val="24"/>
          <w:szCs w:val="24"/>
        </w:rPr>
        <w:t>Stacy</w:t>
      </w:r>
      <w:proofErr w:type="spellEnd"/>
      <w:r w:rsidRPr="00F91354">
        <w:rPr>
          <w:rFonts w:ascii="Georgia" w:hAnsi="Georgia"/>
          <w:sz w:val="24"/>
          <w:szCs w:val="24"/>
        </w:rPr>
        <w:t>, comprende el principio de identidad: sabe que la plastilina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sigue siendo la misma aun cuando se presente en una forma distinta. También comprende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el principio de la reversibilidad; sabe que puede volver a aglomerar la plastilina en forma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de bola. Además, es capaz de descentrar; puede enfocarse tanto en la longitud como en el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grosor. Reconoce que aunque la bola es más corta que la salchicha, también es más gruesa.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sz w:val="24"/>
          <w:szCs w:val="24"/>
        </w:rPr>
      </w:pPr>
      <w:proofErr w:type="spellStart"/>
      <w:r w:rsidRPr="00F91354">
        <w:rPr>
          <w:rFonts w:ascii="Georgia" w:hAnsi="Georgia"/>
          <w:sz w:val="24"/>
          <w:szCs w:val="24"/>
        </w:rPr>
        <w:t>Stacy</w:t>
      </w:r>
      <w:proofErr w:type="spellEnd"/>
      <w:r w:rsidRPr="00F91354">
        <w:rPr>
          <w:rFonts w:ascii="Georgia" w:hAnsi="Georgia"/>
          <w:sz w:val="24"/>
          <w:szCs w:val="24"/>
        </w:rPr>
        <w:t xml:space="preserve"> se centra en una dimensión (longitud), mientras que excluye la otra (grosor).</w:t>
      </w:r>
    </w:p>
    <w:p w:rsidR="00535849" w:rsidRPr="00F91354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sz w:val="24"/>
          <w:szCs w:val="24"/>
        </w:rPr>
        <w:t>De manera típica, los niños de siete u ocho años aproximadamente pueden resolver problemas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como el anterior, que implican la conservación de sustancias. Sin embargo, en tareas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de conservación de peso (por ejemplo, en las que se les pregunta si la bola y la salchicha pesan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lo mismo) los niños típicamente no proporcionan una respuesta correcta sino hasta los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nueve o 10 años de edad. En tareas que implican la conservación de volumen (donde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los niños tienen que juzgar si la salchicha y la bola desplazan la misma cantidad de líquido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cuando se les coloca dentro de un vaso de agua) las respuestas correctas son poco comunes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antes de los 12 años de edad. El término de Piaget para esta inconsistencia en el desarrollo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 xml:space="preserve">de los distintos tipos de conservación es </w:t>
      </w:r>
      <w:proofErr w:type="spellStart"/>
      <w:r w:rsidRPr="00F91354">
        <w:rPr>
          <w:rFonts w:ascii="Georgia" w:hAnsi="Georgia"/>
          <w:sz w:val="24"/>
          <w:szCs w:val="24"/>
        </w:rPr>
        <w:t>dècalage</w:t>
      </w:r>
      <w:proofErr w:type="spellEnd"/>
      <w:r w:rsidRPr="00F91354">
        <w:rPr>
          <w:rFonts w:ascii="Georgia" w:hAnsi="Georgia"/>
          <w:sz w:val="24"/>
          <w:szCs w:val="24"/>
        </w:rPr>
        <w:t xml:space="preserve"> horizontal. El razonamiento de los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niños durante esta etapa es tan concreto y está tan estrechamente vinculado a una situación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particular que ellos no son capaces de transferir con facilidad lo que han aprendido acerca</w:t>
      </w:r>
      <w:r>
        <w:rPr>
          <w:rFonts w:ascii="Georgia" w:hAnsi="Georgia"/>
          <w:sz w:val="24"/>
          <w:szCs w:val="24"/>
        </w:rPr>
        <w:t xml:space="preserve"> </w:t>
      </w:r>
      <w:r w:rsidRPr="00F91354">
        <w:rPr>
          <w:rFonts w:ascii="Georgia" w:hAnsi="Georgia"/>
          <w:sz w:val="24"/>
          <w:szCs w:val="24"/>
        </w:rPr>
        <w:t>de un tipo de conservación a otro, aun cuando los principios subyacentes son los mismos.</w:t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F91354">
        <w:rPr>
          <w:rFonts w:ascii="Georgia" w:hAnsi="Georgia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4D33774A" wp14:editId="4A74341D">
            <wp:extent cx="5506218" cy="546811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546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:rsidR="00535849" w:rsidRDefault="00535849" w:rsidP="0053584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Para adentrarnos en el estudio de esta etapa te propongo que leas: </w:t>
      </w:r>
    </w:p>
    <w:p w:rsidR="00535849" w:rsidRDefault="00535849" w:rsidP="005358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val="es-ES" w:eastAsia="es-ES"/>
        </w:rPr>
        <w:drawing>
          <wp:inline distT="0" distB="0" distL="0" distR="0" wp14:anchorId="67001B64" wp14:editId="0A27C9E3">
            <wp:extent cx="561975" cy="619125"/>
            <wp:effectExtent l="0" t="0" r="9525" b="9525"/>
            <wp:docPr id="3" name="Imagen 3" descr="descarg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arga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4"/>
          <w:szCs w:val="24"/>
        </w:rPr>
        <w:t xml:space="preserve">-Capítulo Palacios, </w:t>
      </w:r>
      <w:proofErr w:type="spellStart"/>
      <w:r>
        <w:rPr>
          <w:rFonts w:ascii="Georgia" w:hAnsi="Georgia"/>
          <w:sz w:val="24"/>
          <w:szCs w:val="24"/>
        </w:rPr>
        <w:t>Coll</w:t>
      </w:r>
      <w:proofErr w:type="spellEnd"/>
      <w:r>
        <w:rPr>
          <w:rFonts w:ascii="Georgia" w:hAnsi="Georgia"/>
          <w:sz w:val="24"/>
          <w:szCs w:val="24"/>
        </w:rPr>
        <w:t xml:space="preserve"> y </w:t>
      </w:r>
      <w:proofErr w:type="spellStart"/>
      <w:r>
        <w:rPr>
          <w:rFonts w:ascii="Georgia" w:hAnsi="Georgia"/>
          <w:sz w:val="24"/>
          <w:szCs w:val="24"/>
        </w:rPr>
        <w:t>Marchesi</w:t>
      </w:r>
      <w:proofErr w:type="spellEnd"/>
      <w:r>
        <w:rPr>
          <w:rFonts w:ascii="Georgia" w:hAnsi="Georgia"/>
          <w:sz w:val="24"/>
          <w:szCs w:val="24"/>
        </w:rPr>
        <w:t xml:space="preserve"> Nro. 12 Procesos cognitivos básicos entre los 6 años y la adolescencia.</w:t>
      </w:r>
    </w:p>
    <w:p w:rsidR="00535849" w:rsidRDefault="00535849" w:rsidP="005358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Piaget, J. “Seis estudios de psicología”. Sección Período de las operaciones lógico concretas.</w:t>
      </w:r>
    </w:p>
    <w:p w:rsidR="00535849" w:rsidRDefault="00535849" w:rsidP="005358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proofErr w:type="spellStart"/>
      <w:r>
        <w:rPr>
          <w:rFonts w:ascii="Georgia" w:hAnsi="Georgia"/>
          <w:sz w:val="24"/>
          <w:szCs w:val="24"/>
        </w:rPr>
        <w:t>Power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point</w:t>
      </w:r>
      <w:proofErr w:type="spellEnd"/>
      <w:r>
        <w:rPr>
          <w:rFonts w:ascii="Georgia" w:hAnsi="Georgia"/>
          <w:sz w:val="24"/>
          <w:szCs w:val="24"/>
        </w:rPr>
        <w:t xml:space="preserve"> de la cátedra Pensamiento lógico concreto donde encontrarás sistematizado los principales puntos de este tema.</w:t>
      </w:r>
    </w:p>
    <w:p w:rsidR="00535849" w:rsidRDefault="00535849" w:rsidP="005358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 propongo que una vez finalizada esta lectura completes el siguiente cuadro comparativo:</w:t>
      </w:r>
    </w:p>
    <w:p w:rsidR="00535849" w:rsidRDefault="00535849" w:rsidP="00535849">
      <w:pPr>
        <w:rPr>
          <w:rFonts w:ascii="Georgia" w:hAnsi="Georgia"/>
          <w:sz w:val="24"/>
          <w:szCs w:val="24"/>
        </w:rPr>
      </w:pPr>
    </w:p>
    <w:tbl>
      <w:tblPr>
        <w:tblStyle w:val="Tabladecuadrcula5oscura-nfasis5"/>
        <w:tblW w:w="0" w:type="auto"/>
        <w:tblLook w:val="04A0" w:firstRow="1" w:lastRow="0" w:firstColumn="1" w:lastColumn="0" w:noHBand="0" w:noVBand="1"/>
      </w:tblPr>
      <w:tblGrid>
        <w:gridCol w:w="3070"/>
        <w:gridCol w:w="2985"/>
        <w:gridCol w:w="2985"/>
      </w:tblGrid>
      <w:tr w:rsidR="00535849" w:rsidTr="00B33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PENSAMIENTO PRE OPERATORIO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PENSAMIENTO OPERATORIO CONCRETO</w:t>
            </w:r>
          </w:p>
        </w:tc>
      </w:tr>
      <w:tr w:rsidR="00535849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EDAD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535849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LOGRO COGNITIVO CON EL QUE COMIENZA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535849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LOGRO COGNITIVO CON EL QUE FINALIZA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535849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CAPACIDADES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535849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LIMITACIONES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535849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RAZONAMIENTO TÍPICO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535849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CENTRACIÓN / DESCENTRACIÓN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535849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REVERSIBILIDAD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535849" w:rsidTr="00B33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JUEGO TÍPICO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  <w:tr w:rsidR="00535849" w:rsidTr="00B331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9" w:type="dxa"/>
          </w:tcPr>
          <w:p w:rsidR="00535849" w:rsidRDefault="00535849" w:rsidP="00B3319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DIBUJO TÍPICO</w:t>
            </w: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0" w:type="dxa"/>
          </w:tcPr>
          <w:p w:rsidR="00535849" w:rsidRDefault="00535849" w:rsidP="00B33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535849" w:rsidRDefault="00535849" w:rsidP="00535849">
      <w:pPr>
        <w:rPr>
          <w:rFonts w:ascii="Georgia" w:hAnsi="Georgia"/>
          <w:sz w:val="24"/>
          <w:szCs w:val="24"/>
        </w:rPr>
      </w:pPr>
    </w:p>
    <w:p w:rsidR="00535849" w:rsidRDefault="00535849" w:rsidP="005358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Aquí están las principales diferencias con el pensamiento lógico formal:</w:t>
      </w:r>
    </w:p>
    <w:p w:rsidR="00535849" w:rsidRDefault="00535849" w:rsidP="00535849">
      <w:pPr>
        <w:rPr>
          <w:rFonts w:ascii="Georgia" w:hAnsi="Georgia"/>
          <w:sz w:val="24"/>
          <w:szCs w:val="24"/>
        </w:rPr>
      </w:pPr>
      <w:bookmarkStart w:id="0" w:name="_GoBack"/>
      <w:r w:rsidRPr="00535849">
        <w:rPr>
          <w:rFonts w:ascii="Georgia" w:hAnsi="Georgia"/>
          <w:sz w:val="24"/>
          <w:szCs w:val="24"/>
          <w:lang w:val="es-ES"/>
        </w:rPr>
        <w:lastRenderedPageBreak/>
        <w:drawing>
          <wp:inline distT="0" distB="0" distL="0" distR="0" wp14:anchorId="6D90D39A" wp14:editId="366CFA49">
            <wp:extent cx="5562600" cy="4422420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4265" cy="44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5849" w:rsidRDefault="00535849" w:rsidP="00535849">
      <w:pPr>
        <w:rPr>
          <w:rFonts w:ascii="Georgia" w:hAnsi="Georgia"/>
          <w:sz w:val="24"/>
          <w:szCs w:val="24"/>
        </w:rPr>
      </w:pPr>
      <w:r w:rsidRPr="00535849">
        <w:rPr>
          <w:rFonts w:ascii="Georgia" w:hAnsi="Georgia"/>
          <w:sz w:val="24"/>
          <w:szCs w:val="24"/>
        </w:rPr>
        <w:drawing>
          <wp:inline distT="0" distB="0" distL="0" distR="0" wp14:anchorId="4F450A5B" wp14:editId="100F00B3">
            <wp:extent cx="5600699" cy="42005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9968" cy="422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849" w:rsidRDefault="00535849" w:rsidP="005358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Ahora te invito a qué puedas responderte algunas preguntas:</w:t>
      </w:r>
    </w:p>
    <w:p w:rsidR="00535849" w:rsidRPr="00797857" w:rsidRDefault="00535849" w:rsidP="00535849">
      <w:pPr>
        <w:pStyle w:val="Prrafodelista"/>
        <w:numPr>
          <w:ilvl w:val="0"/>
          <w:numId w:val="5"/>
        </w:numPr>
        <w:spacing w:after="160" w:line="259" w:lineRule="auto"/>
        <w:rPr>
          <w:rFonts w:ascii="Georgia" w:hAnsi="Georgia"/>
          <w:sz w:val="24"/>
          <w:szCs w:val="24"/>
        </w:rPr>
      </w:pPr>
      <w:r w:rsidRPr="00797857">
        <w:rPr>
          <w:rFonts w:ascii="Georgia" w:hAnsi="Georgia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3378B4ED" wp14:editId="38C1A910">
            <wp:extent cx="4572638" cy="257210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849" w:rsidRDefault="00535849" w:rsidP="00535849">
      <w:pPr>
        <w:rPr>
          <w:rFonts w:ascii="Georgia" w:hAnsi="Georgia"/>
          <w:sz w:val="24"/>
          <w:szCs w:val="24"/>
        </w:rPr>
      </w:pPr>
      <w:r w:rsidRPr="00797857">
        <w:rPr>
          <w:rFonts w:ascii="Georgia" w:hAnsi="Georgia"/>
          <w:noProof/>
          <w:sz w:val="24"/>
          <w:szCs w:val="24"/>
          <w:lang w:val="es-ES" w:eastAsia="es-ES"/>
        </w:rPr>
        <w:drawing>
          <wp:inline distT="0" distB="0" distL="0" distR="0" wp14:anchorId="787F90CB" wp14:editId="50E2AE9C">
            <wp:extent cx="4572638" cy="257210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849" w:rsidRDefault="00535849" w:rsidP="0053584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Nos seguimos leyendo</w:t>
      </w:r>
      <w:proofErr w:type="gramStart"/>
      <w:r>
        <w:rPr>
          <w:rFonts w:ascii="Georgia" w:hAnsi="Georgia"/>
          <w:sz w:val="24"/>
          <w:szCs w:val="24"/>
        </w:rPr>
        <w:t>!</w:t>
      </w:r>
      <w:proofErr w:type="gramEnd"/>
    </w:p>
    <w:p w:rsidR="00535849" w:rsidRDefault="00535849" w:rsidP="00535849">
      <w:pPr>
        <w:spacing w:before="120" w:after="120" w:line="240" w:lineRule="auto"/>
        <w:rPr>
          <w:rFonts w:ascii="Georgia" w:hAnsi="Georgia"/>
          <w:b/>
          <w:sz w:val="24"/>
          <w:szCs w:val="24"/>
        </w:rPr>
      </w:pPr>
      <w:r>
        <w:rPr>
          <w:rFonts w:ascii="Garamond" w:hAnsi="Garamond"/>
          <w:sz w:val="28"/>
          <w:szCs w:val="28"/>
        </w:rPr>
        <w:t>Vero</w:t>
      </w:r>
    </w:p>
    <w:p w:rsidR="000D6723" w:rsidRPr="00535849" w:rsidRDefault="000D6723" w:rsidP="00535849"/>
    <w:sectPr w:rsidR="000D6723" w:rsidRPr="00535849" w:rsidSect="00EC0775">
      <w:headerReference w:type="default" r:id="rId15"/>
      <w:footerReference w:type="default" r:id="rId16"/>
      <w:pgSz w:w="11906" w:h="16838"/>
      <w:pgMar w:top="1440" w:right="1416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63A" w:rsidRDefault="009A063A" w:rsidP="00712EB9">
      <w:pPr>
        <w:spacing w:after="0" w:line="240" w:lineRule="auto"/>
      </w:pPr>
      <w:r>
        <w:separator/>
      </w:r>
    </w:p>
  </w:endnote>
  <w:endnote w:type="continuationSeparator" w:id="0">
    <w:p w:rsidR="009A063A" w:rsidRDefault="009A063A" w:rsidP="0071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50" w:rsidRPr="000A7750" w:rsidRDefault="00EC0775" w:rsidP="00FA307C">
    <w:pPr>
      <w:pStyle w:val="Piedepgina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PSICOLOGÍA EVOLUTIVA </w:t>
    </w:r>
    <w:r w:rsidR="006D6106">
      <w:rPr>
        <w:sz w:val="18"/>
        <w:szCs w:val="18"/>
      </w:rPr>
      <w:t>I</w:t>
    </w:r>
    <w:r>
      <w:rPr>
        <w:sz w:val="18"/>
        <w:szCs w:val="18"/>
      </w:rPr>
      <w:t xml:space="preserve">                                                    </w:t>
    </w:r>
    <w:r w:rsidR="000A7750" w:rsidRPr="000A7750">
      <w:rPr>
        <w:sz w:val="18"/>
        <w:szCs w:val="18"/>
      </w:rPr>
      <w:t xml:space="preserve">PROFESORAS: VERONICA REBAUDINO – </w:t>
    </w:r>
    <w:r w:rsidR="006D6106">
      <w:rPr>
        <w:sz w:val="18"/>
        <w:szCs w:val="18"/>
      </w:rPr>
      <w:t>DANIELA RIOS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63A" w:rsidRDefault="009A063A" w:rsidP="00712EB9">
      <w:pPr>
        <w:spacing w:after="0" w:line="240" w:lineRule="auto"/>
      </w:pPr>
      <w:r>
        <w:separator/>
      </w:r>
    </w:p>
  </w:footnote>
  <w:footnote w:type="continuationSeparator" w:id="0">
    <w:p w:rsidR="009A063A" w:rsidRDefault="009A063A" w:rsidP="0071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50" w:rsidRPr="00EC0775" w:rsidRDefault="00EC0775" w:rsidP="00EC0775">
    <w:pPr>
      <w:pStyle w:val="Encabezado"/>
      <w:jc w:val="center"/>
    </w:pPr>
    <w:r w:rsidRPr="0053633A">
      <w:rPr>
        <w:noProof/>
        <w:sz w:val="8"/>
        <w:lang w:val="es-ES" w:eastAsia="es-ES"/>
      </w:rPr>
      <w:drawing>
        <wp:inline distT="0" distB="0" distL="0" distR="0">
          <wp:extent cx="3695700" cy="597632"/>
          <wp:effectExtent l="0" t="0" r="0" b="0"/>
          <wp:docPr id="27" name="Imagen 27" descr="Enc FACULTAD DE PSIC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 FACULTAD DE PSICOLOG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2344" cy="631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76EE5"/>
    <w:multiLevelType w:val="hybridMultilevel"/>
    <w:tmpl w:val="293A0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3C47"/>
    <w:multiLevelType w:val="hybridMultilevel"/>
    <w:tmpl w:val="E3A28284"/>
    <w:lvl w:ilvl="0" w:tplc="B2C8245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75FA"/>
    <w:multiLevelType w:val="hybridMultilevel"/>
    <w:tmpl w:val="6CD4A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50822"/>
    <w:multiLevelType w:val="hybridMultilevel"/>
    <w:tmpl w:val="F5F454CE"/>
    <w:lvl w:ilvl="0" w:tplc="D978567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D41C0"/>
    <w:multiLevelType w:val="hybridMultilevel"/>
    <w:tmpl w:val="1E5C098C"/>
    <w:lvl w:ilvl="0" w:tplc="52AA999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B9"/>
    <w:rsid w:val="0006141F"/>
    <w:rsid w:val="00085EE0"/>
    <w:rsid w:val="000A7750"/>
    <w:rsid w:val="000B0BD1"/>
    <w:rsid w:val="000D5356"/>
    <w:rsid w:val="000D6723"/>
    <w:rsid w:val="000F49E7"/>
    <w:rsid w:val="00120C9D"/>
    <w:rsid w:val="00132605"/>
    <w:rsid w:val="001474ED"/>
    <w:rsid w:val="00154826"/>
    <w:rsid w:val="0015535A"/>
    <w:rsid w:val="001613A7"/>
    <w:rsid w:val="00195435"/>
    <w:rsid w:val="001A04DF"/>
    <w:rsid w:val="001B7BFB"/>
    <w:rsid w:val="002021BB"/>
    <w:rsid w:val="00230F2D"/>
    <w:rsid w:val="0025137D"/>
    <w:rsid w:val="002660A1"/>
    <w:rsid w:val="002712CB"/>
    <w:rsid w:val="00283538"/>
    <w:rsid w:val="002B2DE7"/>
    <w:rsid w:val="002C1389"/>
    <w:rsid w:val="00326B63"/>
    <w:rsid w:val="00386F6C"/>
    <w:rsid w:val="003B5E30"/>
    <w:rsid w:val="003D3D85"/>
    <w:rsid w:val="004018CA"/>
    <w:rsid w:val="00404C14"/>
    <w:rsid w:val="004309C0"/>
    <w:rsid w:val="004D7C13"/>
    <w:rsid w:val="004F7682"/>
    <w:rsid w:val="004F7D0D"/>
    <w:rsid w:val="00534AF0"/>
    <w:rsid w:val="00535849"/>
    <w:rsid w:val="00551916"/>
    <w:rsid w:val="00573B32"/>
    <w:rsid w:val="005A40A5"/>
    <w:rsid w:val="005F5475"/>
    <w:rsid w:val="006D2B2D"/>
    <w:rsid w:val="006D6106"/>
    <w:rsid w:val="006D7DE6"/>
    <w:rsid w:val="00705887"/>
    <w:rsid w:val="00712EB9"/>
    <w:rsid w:val="0072503A"/>
    <w:rsid w:val="00754DFC"/>
    <w:rsid w:val="00767F83"/>
    <w:rsid w:val="00796975"/>
    <w:rsid w:val="007E1A7F"/>
    <w:rsid w:val="007F332E"/>
    <w:rsid w:val="00814B42"/>
    <w:rsid w:val="008278C4"/>
    <w:rsid w:val="008C067C"/>
    <w:rsid w:val="00900A63"/>
    <w:rsid w:val="009259F7"/>
    <w:rsid w:val="009A063A"/>
    <w:rsid w:val="009F18FA"/>
    <w:rsid w:val="00A217A6"/>
    <w:rsid w:val="00AB0B2A"/>
    <w:rsid w:val="00AE480F"/>
    <w:rsid w:val="00AF3B97"/>
    <w:rsid w:val="00B05218"/>
    <w:rsid w:val="00B07890"/>
    <w:rsid w:val="00B53B4D"/>
    <w:rsid w:val="00B7388D"/>
    <w:rsid w:val="00B933AB"/>
    <w:rsid w:val="00BA1BBC"/>
    <w:rsid w:val="00D07B5C"/>
    <w:rsid w:val="00D17AE5"/>
    <w:rsid w:val="00D31D94"/>
    <w:rsid w:val="00D94798"/>
    <w:rsid w:val="00DE1FEF"/>
    <w:rsid w:val="00DE745C"/>
    <w:rsid w:val="00E420D9"/>
    <w:rsid w:val="00E56C79"/>
    <w:rsid w:val="00E7222A"/>
    <w:rsid w:val="00E953DF"/>
    <w:rsid w:val="00EA3F96"/>
    <w:rsid w:val="00EC0775"/>
    <w:rsid w:val="00ED6D68"/>
    <w:rsid w:val="00EE0543"/>
    <w:rsid w:val="00F24A76"/>
    <w:rsid w:val="00FA307C"/>
    <w:rsid w:val="00FA6A7C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4C42C8-AAD2-47E6-ABDE-BEAAF7B6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F96"/>
    <w:pPr>
      <w:spacing w:after="200" w:line="276" w:lineRule="auto"/>
    </w:pPr>
    <w:rPr>
      <w:lang w:val="es-AR"/>
    </w:rPr>
  </w:style>
  <w:style w:type="paragraph" w:styleId="Ttulo1">
    <w:name w:val="heading 1"/>
    <w:basedOn w:val="Normal"/>
    <w:next w:val="Normal"/>
    <w:link w:val="Ttulo1Car"/>
    <w:qFormat/>
    <w:rsid w:val="00D94798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9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3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2EB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12EB9"/>
    <w:rPr>
      <w:b/>
      <w:bCs/>
    </w:rPr>
  </w:style>
  <w:style w:type="character" w:styleId="nfasis">
    <w:name w:val="Emphasis"/>
    <w:basedOn w:val="Fuentedeprrafopredeter"/>
    <w:uiPriority w:val="20"/>
    <w:qFormat/>
    <w:rsid w:val="00712E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1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EB9"/>
  </w:style>
  <w:style w:type="paragraph" w:styleId="Piedepgina">
    <w:name w:val="footer"/>
    <w:basedOn w:val="Normal"/>
    <w:link w:val="PiedepginaCar"/>
    <w:uiPriority w:val="99"/>
    <w:unhideWhenUsed/>
    <w:rsid w:val="0071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EB9"/>
  </w:style>
  <w:style w:type="paragraph" w:styleId="Prrafodelista">
    <w:name w:val="List Paragraph"/>
    <w:basedOn w:val="Normal"/>
    <w:uiPriority w:val="34"/>
    <w:qFormat/>
    <w:rsid w:val="000B0BD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94798"/>
    <w:rPr>
      <w:rFonts w:ascii="Tahoma" w:eastAsia="Times New Roman" w:hAnsi="Tahoma" w:cs="Tahoma"/>
      <w:b/>
      <w:bCs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947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9479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3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Descripcin">
    <w:name w:val="caption"/>
    <w:basedOn w:val="Normal"/>
    <w:next w:val="Normal"/>
    <w:qFormat/>
    <w:rsid w:val="001553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styleId="NormalWeb">
    <w:name w:val="Normal (Web)"/>
    <w:basedOn w:val="Normal"/>
    <w:uiPriority w:val="99"/>
    <w:unhideWhenUsed/>
    <w:rsid w:val="00D0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9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tepublish">
    <w:name w:val="date_publish"/>
    <w:basedOn w:val="Fuentedeprrafopredeter"/>
    <w:rsid w:val="00796975"/>
  </w:style>
  <w:style w:type="table" w:styleId="Tablaconcuadrcula">
    <w:name w:val="Table Grid"/>
    <w:basedOn w:val="Tablanormal"/>
    <w:uiPriority w:val="59"/>
    <w:rsid w:val="0028353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5358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34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9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17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7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79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1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9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8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3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3325">
          <w:marLeft w:val="240"/>
          <w:marRight w:val="24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69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CC4C4"/>
                <w:bottom w:val="single" w:sz="6" w:space="3" w:color="DCC4C4"/>
                <w:right w:val="none" w:sz="0" w:space="0" w:color="auto"/>
              </w:divBdr>
              <w:divsChild>
                <w:div w:id="565650869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7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2828">
                  <w:marLeft w:val="240"/>
                  <w:marRight w:val="2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642547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1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675841">
              <w:marLeft w:val="240"/>
              <w:marRight w:val="240"/>
              <w:marTop w:val="0"/>
              <w:marBottom w:val="480"/>
              <w:divBdr>
                <w:top w:val="single" w:sz="6" w:space="6" w:color="8D2323"/>
                <w:left w:val="single" w:sz="6" w:space="0" w:color="8D2323"/>
                <w:bottom w:val="single" w:sz="6" w:space="6" w:color="8D2323"/>
                <w:right w:val="single" w:sz="6" w:space="0" w:color="8D2323"/>
              </w:divBdr>
              <w:divsChild>
                <w:div w:id="359939972">
                  <w:marLeft w:val="240"/>
                  <w:marRight w:val="24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50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94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624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74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81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8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35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788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01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295">
          <w:marLeft w:val="240"/>
          <w:marRight w:val="24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86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CC4C4"/>
                <w:bottom w:val="single" w:sz="6" w:space="3" w:color="DCC4C4"/>
                <w:right w:val="none" w:sz="0" w:space="0" w:color="auto"/>
              </w:divBdr>
              <w:divsChild>
                <w:div w:id="191666668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1103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715">
                  <w:marLeft w:val="240"/>
                  <w:marRight w:val="2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251975">
              <w:marLeft w:val="240"/>
              <w:marRight w:val="2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38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63649">
              <w:marLeft w:val="240"/>
              <w:marRight w:val="240"/>
              <w:marTop w:val="0"/>
              <w:marBottom w:val="480"/>
              <w:divBdr>
                <w:top w:val="single" w:sz="6" w:space="6" w:color="8D2323"/>
                <w:left w:val="single" w:sz="6" w:space="0" w:color="8D2323"/>
                <w:bottom w:val="single" w:sz="6" w:space="6" w:color="8D2323"/>
                <w:right w:val="single" w:sz="6" w:space="0" w:color="8D2323"/>
              </w:divBdr>
              <w:divsChild>
                <w:div w:id="74060113">
                  <w:marLeft w:val="240"/>
                  <w:marRight w:val="24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5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4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29696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9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7270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57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1048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159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346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144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57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37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7340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80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763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20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83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2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</cp:lastModifiedBy>
  <cp:revision>2</cp:revision>
  <dcterms:created xsi:type="dcterms:W3CDTF">2020-10-07T15:13:00Z</dcterms:created>
  <dcterms:modified xsi:type="dcterms:W3CDTF">2020-10-07T15:13:00Z</dcterms:modified>
</cp:coreProperties>
</file>