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1DF" w:rsidRDefault="00B601DF" w:rsidP="00B601DF">
      <w:pPr>
        <w:spacing w:before="100" w:beforeAutospacing="1" w:after="100" w:afterAutospacing="1"/>
        <w:jc w:val="center"/>
        <w:rPr>
          <w:b/>
          <w:bCs/>
          <w:color w:val="000000"/>
          <w:sz w:val="28"/>
          <w:szCs w:val="28"/>
          <w:u w:val="single"/>
        </w:rPr>
      </w:pPr>
      <w:r>
        <w:rPr>
          <w:b/>
          <w:bCs/>
          <w:color w:val="000000"/>
          <w:sz w:val="28"/>
          <w:szCs w:val="28"/>
          <w:u w:val="single"/>
        </w:rPr>
        <w:t>Clase 6</w:t>
      </w:r>
    </w:p>
    <w:p w:rsidR="00B601DF" w:rsidRDefault="00B601DF" w:rsidP="00B601DF">
      <w:pPr>
        <w:spacing w:before="100" w:beforeAutospacing="1" w:after="100" w:afterAutospacing="1"/>
        <w:jc w:val="center"/>
        <w:rPr>
          <w:b/>
          <w:bCs/>
          <w:color w:val="000000"/>
          <w:sz w:val="28"/>
          <w:szCs w:val="28"/>
          <w:u w:val="single"/>
        </w:rPr>
      </w:pPr>
    </w:p>
    <w:p w:rsidR="00B601DF" w:rsidRPr="00173FE6" w:rsidRDefault="00B601DF" w:rsidP="00B601DF">
      <w:pPr>
        <w:spacing w:before="100" w:beforeAutospacing="1" w:after="100" w:afterAutospacing="1"/>
        <w:jc w:val="center"/>
        <w:rPr>
          <w:b/>
          <w:bCs/>
          <w:color w:val="000000"/>
          <w:sz w:val="28"/>
          <w:szCs w:val="28"/>
          <w:u w:val="single"/>
        </w:rPr>
      </w:pPr>
      <w:r w:rsidRPr="00173FE6">
        <w:rPr>
          <w:b/>
          <w:bCs/>
          <w:color w:val="000000"/>
          <w:sz w:val="28"/>
          <w:szCs w:val="28"/>
          <w:u w:val="single"/>
        </w:rPr>
        <w:t>El canon de las Escrituras</w:t>
      </w:r>
    </w:p>
    <w:p w:rsidR="00B601DF" w:rsidRPr="00173FE6" w:rsidRDefault="00B601DF" w:rsidP="00B601DF">
      <w:pPr>
        <w:spacing w:before="100" w:beforeAutospacing="1" w:after="100" w:afterAutospacing="1"/>
        <w:jc w:val="center"/>
        <w:rPr>
          <w:color w:val="000000"/>
          <w:sz w:val="28"/>
          <w:szCs w:val="28"/>
        </w:rPr>
      </w:pP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t>120</w:t>
      </w:r>
      <w:r w:rsidRPr="00173FE6">
        <w:rPr>
          <w:color w:val="000000"/>
          <w:sz w:val="28"/>
          <w:szCs w:val="28"/>
        </w:rPr>
        <w:t> La Tradición apostólica hizo discernir a la Iglesia qué escritos constituyen la lista de los Libros Santos (cf. </w:t>
      </w:r>
      <w:hyperlink r:id="rId4" w:history="1">
        <w:r w:rsidRPr="00173FE6">
          <w:rPr>
            <w:color w:val="0000FF"/>
            <w:sz w:val="28"/>
            <w:szCs w:val="28"/>
            <w:u w:val="single"/>
          </w:rPr>
          <w:t>DV</w:t>
        </w:r>
      </w:hyperlink>
      <w:r w:rsidRPr="00173FE6">
        <w:rPr>
          <w:color w:val="000000"/>
          <w:sz w:val="28"/>
          <w:szCs w:val="28"/>
        </w:rPr>
        <w:t> 8,3). Esta lista integral es llamada «canon» de las Escrituras. Comprende para el Antiguo Testamento 46 escritos (45 si se cuentan </w:t>
      </w:r>
      <w:r w:rsidRPr="00173FE6">
        <w:rPr>
          <w:i/>
          <w:iCs/>
          <w:color w:val="000000"/>
          <w:sz w:val="28"/>
          <w:szCs w:val="28"/>
        </w:rPr>
        <w:t>Jr</w:t>
      </w:r>
      <w:r w:rsidRPr="00173FE6">
        <w:rPr>
          <w:color w:val="000000"/>
          <w:sz w:val="28"/>
          <w:szCs w:val="28"/>
        </w:rPr>
        <w:t> y </w:t>
      </w:r>
      <w:r w:rsidRPr="00173FE6">
        <w:rPr>
          <w:i/>
          <w:iCs/>
          <w:color w:val="000000"/>
          <w:sz w:val="28"/>
          <w:szCs w:val="28"/>
        </w:rPr>
        <w:t>Lm</w:t>
      </w:r>
      <w:r w:rsidRPr="00173FE6">
        <w:rPr>
          <w:color w:val="000000"/>
          <w:sz w:val="28"/>
          <w:szCs w:val="28"/>
        </w:rPr>
        <w:t> como uno solo), y 27 para el Nuevo (cf. </w:t>
      </w:r>
      <w:r w:rsidRPr="00173FE6">
        <w:rPr>
          <w:i/>
          <w:iCs/>
          <w:color w:val="000000"/>
          <w:sz w:val="28"/>
          <w:szCs w:val="28"/>
        </w:rPr>
        <w:t>Decretum Damasi:</w:t>
      </w:r>
      <w:r w:rsidRPr="00173FE6">
        <w:rPr>
          <w:color w:val="000000"/>
          <w:sz w:val="28"/>
          <w:szCs w:val="28"/>
        </w:rPr>
        <w:t> DS 179; Concilio de Florencia, año 1442: </w:t>
      </w:r>
      <w:r w:rsidRPr="00173FE6">
        <w:rPr>
          <w:i/>
          <w:iCs/>
          <w:color w:val="000000"/>
          <w:sz w:val="28"/>
          <w:szCs w:val="28"/>
        </w:rPr>
        <w:t>ibíd.</w:t>
      </w:r>
      <w:r w:rsidRPr="00173FE6">
        <w:rPr>
          <w:color w:val="000000"/>
          <w:sz w:val="28"/>
          <w:szCs w:val="28"/>
        </w:rPr>
        <w:t>,1334-1336; Concilio de Trento: </w:t>
      </w:r>
      <w:r w:rsidRPr="00173FE6">
        <w:rPr>
          <w:i/>
          <w:iCs/>
          <w:color w:val="000000"/>
          <w:sz w:val="28"/>
          <w:szCs w:val="28"/>
        </w:rPr>
        <w:t>ibíd.</w:t>
      </w:r>
      <w:r w:rsidRPr="00173FE6">
        <w:rPr>
          <w:color w:val="000000"/>
          <w:sz w:val="28"/>
          <w:szCs w:val="28"/>
        </w:rPr>
        <w:t>, 1501-1504):</w:t>
      </w:r>
    </w:p>
    <w:p w:rsidR="00B601DF" w:rsidRPr="00173FE6" w:rsidRDefault="00B601DF" w:rsidP="00B601DF">
      <w:pPr>
        <w:spacing w:beforeAutospacing="1" w:after="100" w:afterAutospacing="1"/>
        <w:rPr>
          <w:color w:val="000000"/>
          <w:sz w:val="28"/>
          <w:szCs w:val="28"/>
        </w:rPr>
      </w:pPr>
      <w:r w:rsidRPr="00173FE6">
        <w:rPr>
          <w:color w:val="000000"/>
          <w:sz w:val="28"/>
          <w:szCs w:val="28"/>
        </w:rPr>
        <w:t>Génesis, Éxodo, Levítico, Números, Deuteronomio, Josué, Jueces, Rut, los dos libros de Samuel, los dos libros de los Reyes, los dos libros de las Crónicas, Esdras y Nehemías, Tobías, Judit, Ester, los dos libros de los Macabeos, Job, los Salmos, los Proverbios, el Eclesiastés, el Cantar de los Cantares, la Sabiduría, el Eclesiástico, Isaías, Jeremías, las Lamentaciones, Baruc, Ezequiel, Daniel, Oseas, Joel, Amós, Abdías, Jonás Miqueas, Nahúm , Habacuc, Sofonías, Ageo, Zacarías, Malaquías para el Antiguo Testamento;</w:t>
      </w:r>
    </w:p>
    <w:p w:rsidR="00B601DF" w:rsidRPr="00173FE6" w:rsidRDefault="00B601DF" w:rsidP="00B601DF">
      <w:pPr>
        <w:spacing w:before="100" w:beforeAutospacing="1" w:afterAutospacing="1"/>
        <w:rPr>
          <w:color w:val="000000"/>
          <w:sz w:val="28"/>
          <w:szCs w:val="28"/>
        </w:rPr>
      </w:pPr>
      <w:r w:rsidRPr="00173FE6">
        <w:rPr>
          <w:color w:val="000000"/>
          <w:sz w:val="28"/>
          <w:szCs w:val="28"/>
        </w:rPr>
        <w:t>los Evangelios de Mateo, de Marcos, de Lucas y de Juan, los Hechos de los Apóstoles, las cartas de Pablo a los Romanos, la primera y segunda a los Corintios, a los Gálatas, a los Efesios, a los Filipenses, a los Colosenses, la primera y la segunda a los Tesalonicenses, la primera y la segunda a Timoteo, a Tito, a Filemón, la carta a los Hebreos, la carta de Santiago, la primera y la segunda de Pedro, las tres cartas de Juan, la carta de Judas y el Apocalipsis para el Nuevo Testamento.</w:t>
      </w: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t>El Antiguo Testamento</w:t>
      </w: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t>121</w:t>
      </w:r>
      <w:r w:rsidRPr="00173FE6">
        <w:rPr>
          <w:color w:val="000000"/>
          <w:sz w:val="28"/>
          <w:szCs w:val="28"/>
        </w:rPr>
        <w:t> El Antiguo Testamento es una parte de la sagrada Escritura de la que no se puede prescindir. Sus libros son divinamente inspirados y conservan un valor permanente (cf. </w:t>
      </w:r>
      <w:hyperlink r:id="rId5" w:history="1">
        <w:r w:rsidRPr="00173FE6">
          <w:rPr>
            <w:color w:val="0000FF"/>
            <w:sz w:val="28"/>
            <w:szCs w:val="28"/>
            <w:u w:val="single"/>
          </w:rPr>
          <w:t>DV</w:t>
        </w:r>
      </w:hyperlink>
      <w:r w:rsidRPr="00173FE6">
        <w:rPr>
          <w:color w:val="000000"/>
          <w:sz w:val="28"/>
          <w:szCs w:val="28"/>
        </w:rPr>
        <w:t> 14), porque la Antigua Alianza no ha sido revocada.</w:t>
      </w: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t>122</w:t>
      </w:r>
      <w:r w:rsidRPr="00173FE6">
        <w:rPr>
          <w:color w:val="000000"/>
          <w:sz w:val="28"/>
          <w:szCs w:val="28"/>
        </w:rPr>
        <w:t> En efecto, «el fin principal de la economía del Antiguo Testamento era preparar la venida de Cristo, redentor universal». «Aunque contienen elementos imperfectos y pasajeros», los libros del Antiguo Testamento dan testimonio de toda la divina pedagogía del amor salvífico de Dios: «Contienen enseñanzas sublimes sobre Dios y una sabiduría salvadora acerca de la vida del hombre, encierran admirables tesoros de oración, y en ellos se esconden el misterio de nuestra salvación» (</w:t>
      </w:r>
      <w:hyperlink r:id="rId6" w:history="1">
        <w:r w:rsidRPr="00173FE6">
          <w:rPr>
            <w:color w:val="0000FF"/>
            <w:sz w:val="28"/>
            <w:szCs w:val="28"/>
            <w:u w:val="single"/>
          </w:rPr>
          <w:t>DV</w:t>
        </w:r>
      </w:hyperlink>
      <w:r w:rsidRPr="00173FE6">
        <w:rPr>
          <w:color w:val="000000"/>
          <w:sz w:val="28"/>
          <w:szCs w:val="28"/>
        </w:rPr>
        <w:t> 15).</w:t>
      </w: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t>123</w:t>
      </w:r>
      <w:r w:rsidRPr="00173FE6">
        <w:rPr>
          <w:color w:val="000000"/>
          <w:sz w:val="28"/>
          <w:szCs w:val="28"/>
        </w:rPr>
        <w:t> Los cristianos veneran el Antiguo Testamento como verdadera Palabra de Dios. La Iglesia ha rechazado siempre vigorosamente la idea de prescindir del Antiguo Testamento so pretexto de que el Nuevo lo habría hecho caduco (marcionismo).</w:t>
      </w: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t>El Nuevo Testamento</w:t>
      </w: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t>124</w:t>
      </w:r>
      <w:r w:rsidRPr="00173FE6">
        <w:rPr>
          <w:color w:val="000000"/>
          <w:sz w:val="28"/>
          <w:szCs w:val="28"/>
        </w:rPr>
        <w:t> «La palabra de Dios, que es fuerza de Dios para la salvación del que cree, se encuentra y despliega su fuerza de modo privilegiado en el Nuevo Testamento» (</w:t>
      </w:r>
      <w:hyperlink r:id="rId7" w:history="1">
        <w:r w:rsidRPr="00173FE6">
          <w:rPr>
            <w:color w:val="0000FF"/>
            <w:sz w:val="28"/>
            <w:szCs w:val="28"/>
            <w:u w:val="single"/>
          </w:rPr>
          <w:t>DV</w:t>
        </w:r>
      </w:hyperlink>
      <w:r w:rsidRPr="00173FE6">
        <w:rPr>
          <w:color w:val="000000"/>
          <w:sz w:val="28"/>
          <w:szCs w:val="28"/>
        </w:rPr>
        <w:t> 17). Estos escritos nos ofrecen la verdad definitiva de la Revelación divina. Su objeto central es Jesucristo, el Hijo de Dios encarnado, sus obras, sus enseñanzas, su pasión y su glorificación, así como los comienzos de su Iglesia bajo la acción del Espíritu Santo (cf. </w:t>
      </w:r>
      <w:hyperlink r:id="rId8" w:history="1">
        <w:r w:rsidRPr="00173FE6">
          <w:rPr>
            <w:color w:val="0000FF"/>
            <w:sz w:val="28"/>
            <w:szCs w:val="28"/>
            <w:u w:val="single"/>
          </w:rPr>
          <w:t>DV</w:t>
        </w:r>
      </w:hyperlink>
      <w:r w:rsidRPr="00173FE6">
        <w:rPr>
          <w:color w:val="000000"/>
          <w:sz w:val="28"/>
          <w:szCs w:val="28"/>
        </w:rPr>
        <w:t> 20).</w:t>
      </w: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t>125</w:t>
      </w:r>
      <w:r w:rsidRPr="00173FE6">
        <w:rPr>
          <w:color w:val="000000"/>
          <w:sz w:val="28"/>
          <w:szCs w:val="28"/>
        </w:rPr>
        <w:t> Los </w:t>
      </w:r>
      <w:r w:rsidRPr="00173FE6">
        <w:rPr>
          <w:i/>
          <w:iCs/>
          <w:color w:val="000000"/>
          <w:sz w:val="28"/>
          <w:szCs w:val="28"/>
        </w:rPr>
        <w:t>Evangelios</w:t>
      </w:r>
      <w:r w:rsidRPr="00173FE6">
        <w:rPr>
          <w:color w:val="000000"/>
          <w:sz w:val="28"/>
          <w:szCs w:val="28"/>
        </w:rPr>
        <w:t> son el corazón de todas las Escrituras «por ser el testimonio principal de la vida y doctrina de la Palabra hecha carne, nuestro Salvador» (</w:t>
      </w:r>
      <w:hyperlink r:id="rId9" w:history="1">
        <w:r w:rsidRPr="00173FE6">
          <w:rPr>
            <w:color w:val="0000FF"/>
            <w:sz w:val="28"/>
            <w:szCs w:val="28"/>
            <w:u w:val="single"/>
          </w:rPr>
          <w:t>DV</w:t>
        </w:r>
      </w:hyperlink>
      <w:r w:rsidRPr="00173FE6">
        <w:rPr>
          <w:color w:val="000000"/>
          <w:sz w:val="28"/>
          <w:szCs w:val="28"/>
        </w:rPr>
        <w:t> 18).</w:t>
      </w: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t>126</w:t>
      </w:r>
      <w:r w:rsidRPr="00173FE6">
        <w:rPr>
          <w:color w:val="000000"/>
          <w:sz w:val="28"/>
          <w:szCs w:val="28"/>
        </w:rPr>
        <w:t> En la formación de los evangelios se pueden distinguir tres etapas:</w:t>
      </w:r>
    </w:p>
    <w:p w:rsidR="00B601DF" w:rsidRPr="00173FE6" w:rsidRDefault="00B601DF" w:rsidP="00B601DF">
      <w:pPr>
        <w:spacing w:beforeAutospacing="1" w:after="100" w:afterAutospacing="1"/>
        <w:rPr>
          <w:color w:val="000000"/>
          <w:sz w:val="28"/>
          <w:szCs w:val="28"/>
        </w:rPr>
      </w:pPr>
      <w:r w:rsidRPr="00173FE6">
        <w:rPr>
          <w:color w:val="000000"/>
          <w:sz w:val="28"/>
          <w:szCs w:val="28"/>
        </w:rPr>
        <w:t>1. </w:t>
      </w:r>
      <w:r w:rsidRPr="00173FE6">
        <w:rPr>
          <w:i/>
          <w:iCs/>
          <w:color w:val="000000"/>
          <w:sz w:val="28"/>
          <w:szCs w:val="28"/>
        </w:rPr>
        <w:t>La vida y la enseñanza de Jesús</w:t>
      </w:r>
      <w:r w:rsidRPr="00173FE6">
        <w:rPr>
          <w:color w:val="000000"/>
          <w:sz w:val="28"/>
          <w:szCs w:val="28"/>
        </w:rPr>
        <w:t xml:space="preserve">. La Iglesia mantiene firmemente que los cuatro evangelios, «cuya historicidad afirma sin vacilar, comunican fielmente lo que Jesús, Hijo de Dios, viviendo </w:t>
      </w:r>
      <w:r w:rsidRPr="00173FE6">
        <w:rPr>
          <w:color w:val="000000"/>
          <w:sz w:val="28"/>
          <w:szCs w:val="28"/>
        </w:rPr>
        <w:lastRenderedPageBreak/>
        <w:t>entre los hombres, hizo y enseñó realmente para la salvación de ellos, hasta el día en que fue levantado al cielo».</w:t>
      </w:r>
    </w:p>
    <w:p w:rsidR="00B601DF" w:rsidRPr="00173FE6" w:rsidRDefault="00B601DF" w:rsidP="00B601DF">
      <w:pPr>
        <w:spacing w:before="100" w:beforeAutospacing="1" w:after="100" w:afterAutospacing="1"/>
        <w:rPr>
          <w:color w:val="000000"/>
          <w:sz w:val="28"/>
          <w:szCs w:val="28"/>
        </w:rPr>
      </w:pPr>
      <w:r w:rsidRPr="00173FE6">
        <w:rPr>
          <w:color w:val="000000"/>
          <w:sz w:val="28"/>
          <w:szCs w:val="28"/>
        </w:rPr>
        <w:t>2. </w:t>
      </w:r>
      <w:r w:rsidRPr="00173FE6">
        <w:rPr>
          <w:i/>
          <w:iCs/>
          <w:color w:val="000000"/>
          <w:sz w:val="28"/>
          <w:szCs w:val="28"/>
        </w:rPr>
        <w:t>La tradición oral</w:t>
      </w:r>
      <w:r w:rsidRPr="00173FE6">
        <w:rPr>
          <w:color w:val="000000"/>
          <w:sz w:val="28"/>
          <w:szCs w:val="28"/>
        </w:rPr>
        <w:t>. «Los apóstoles ciertamente después de la ascensión del Señor predicaron a sus oyentes lo que Él había dicho y obrado, con aquella crecida inteligencia de que ellos gozaban, instruidos y guiados por los acontecimientos gloriosos de Cristo y por la luz del Espíritu de verdad».</w:t>
      </w:r>
    </w:p>
    <w:p w:rsidR="00B601DF" w:rsidRPr="00173FE6" w:rsidRDefault="00B601DF" w:rsidP="00B601DF">
      <w:pPr>
        <w:spacing w:before="100" w:beforeAutospacing="1" w:afterAutospacing="1"/>
        <w:rPr>
          <w:color w:val="000000"/>
          <w:sz w:val="28"/>
          <w:szCs w:val="28"/>
        </w:rPr>
      </w:pPr>
      <w:r w:rsidRPr="00173FE6">
        <w:rPr>
          <w:color w:val="000000"/>
          <w:sz w:val="28"/>
          <w:szCs w:val="28"/>
        </w:rPr>
        <w:t>3. </w:t>
      </w:r>
      <w:r w:rsidRPr="00173FE6">
        <w:rPr>
          <w:i/>
          <w:iCs/>
          <w:color w:val="000000"/>
          <w:sz w:val="28"/>
          <w:szCs w:val="28"/>
        </w:rPr>
        <w:t>Los evangelios escritos</w:t>
      </w:r>
      <w:r w:rsidRPr="00173FE6">
        <w:rPr>
          <w:color w:val="000000"/>
          <w:sz w:val="28"/>
          <w:szCs w:val="28"/>
        </w:rPr>
        <w:t>. «Los autores sagrados escribieron los cuatro evangelios escogiendo algunas cosas de las muchas que ya se transmitían de palabra o por escrito, sintetizando otras, o explicándolas atendiendo a la situación de las Iglesias, conservando por fin la forma de proclamación, de manera que siempre nos comunicaban la verdad sincera acerca de Jesús» (</w:t>
      </w:r>
      <w:hyperlink r:id="rId10" w:history="1">
        <w:r w:rsidRPr="00173FE6">
          <w:rPr>
            <w:color w:val="0000FF"/>
            <w:sz w:val="28"/>
            <w:szCs w:val="28"/>
            <w:u w:val="single"/>
          </w:rPr>
          <w:t>DV</w:t>
        </w:r>
      </w:hyperlink>
      <w:r w:rsidRPr="00173FE6">
        <w:rPr>
          <w:color w:val="000000"/>
          <w:sz w:val="28"/>
          <w:szCs w:val="28"/>
        </w:rPr>
        <w:t> 19).</w:t>
      </w: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t>127</w:t>
      </w:r>
      <w:r w:rsidRPr="00173FE6">
        <w:rPr>
          <w:color w:val="000000"/>
          <w:sz w:val="28"/>
          <w:szCs w:val="28"/>
        </w:rPr>
        <w:t> El Evangelio cuadriforme ocupa en la Iglesia un lugar único; de ello dan testimonio la veneración de que lo rodea la liturgia y el atractivo incomparable que ha ejercido en todo tiempo sobre los santos:</w:t>
      </w:r>
    </w:p>
    <w:p w:rsidR="00B601DF" w:rsidRPr="00173FE6" w:rsidRDefault="00B601DF" w:rsidP="00B601DF">
      <w:pPr>
        <w:spacing w:beforeAutospacing="1" w:after="100" w:afterAutospacing="1"/>
        <w:rPr>
          <w:color w:val="000000"/>
          <w:sz w:val="28"/>
          <w:szCs w:val="28"/>
        </w:rPr>
      </w:pPr>
      <w:r w:rsidRPr="00173FE6">
        <w:rPr>
          <w:color w:val="000000"/>
          <w:sz w:val="28"/>
          <w:szCs w:val="28"/>
        </w:rPr>
        <w:t>«No hay ninguna doctrina que sea mejor, más preciosa y más espléndida que el texto del Evangelio. Ved y retened lo que nuestro Señor y Maestro, Cristo, ha enseñado mediante sus palabras y realizado mediante sus obras» (Santa Cesárea Joven,  </w:t>
      </w:r>
      <w:r w:rsidRPr="00173FE6">
        <w:rPr>
          <w:i/>
          <w:iCs/>
          <w:color w:val="000000"/>
          <w:sz w:val="28"/>
          <w:szCs w:val="28"/>
        </w:rPr>
        <w:t>Epistula ad Richildam et Radegundem</w:t>
      </w:r>
      <w:r w:rsidRPr="00173FE6">
        <w:rPr>
          <w:color w:val="000000"/>
          <w:sz w:val="28"/>
          <w:szCs w:val="28"/>
        </w:rPr>
        <w:t>: SC 345, 480).</w:t>
      </w:r>
    </w:p>
    <w:p w:rsidR="00B601DF" w:rsidRPr="00173FE6" w:rsidRDefault="00B601DF" w:rsidP="00B601DF">
      <w:pPr>
        <w:spacing w:before="100" w:beforeAutospacing="1" w:afterAutospacing="1"/>
        <w:rPr>
          <w:color w:val="000000"/>
          <w:sz w:val="28"/>
          <w:szCs w:val="28"/>
        </w:rPr>
      </w:pPr>
      <w:r w:rsidRPr="00173FE6">
        <w:rPr>
          <w:color w:val="000000"/>
          <w:sz w:val="28"/>
          <w:szCs w:val="28"/>
        </w:rPr>
        <w:t>«Es sobre todo el </w:t>
      </w:r>
      <w:r w:rsidRPr="00173FE6">
        <w:rPr>
          <w:i/>
          <w:iCs/>
          <w:color w:val="000000"/>
          <w:sz w:val="28"/>
          <w:szCs w:val="28"/>
        </w:rPr>
        <w:t>Evangelio</w:t>
      </w:r>
      <w:r w:rsidRPr="00173FE6">
        <w:rPr>
          <w:color w:val="000000"/>
          <w:sz w:val="28"/>
          <w:szCs w:val="28"/>
        </w:rPr>
        <w:t> lo que me ocupa durante mis oraciones; en él encuentro todo lo que es necesario a mi pobre alma. En él descubro siempre nuevas luces, sentidos escondidos y misteriosos (Santa Teresa del Niño Jesús, </w:t>
      </w:r>
      <w:r w:rsidRPr="00173FE6">
        <w:rPr>
          <w:i/>
          <w:iCs/>
          <w:color w:val="000000"/>
          <w:sz w:val="28"/>
          <w:szCs w:val="28"/>
        </w:rPr>
        <w:t>Manuscritos autobiográficos</w:t>
      </w:r>
      <w:r w:rsidRPr="00173FE6">
        <w:rPr>
          <w:color w:val="000000"/>
          <w:sz w:val="28"/>
          <w:szCs w:val="28"/>
        </w:rPr>
        <w:t>, París 1922, p. 268).</w:t>
      </w: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t>La unidad del Antiguo y del Nuevo Testamento</w:t>
      </w: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t>128</w:t>
      </w:r>
      <w:r w:rsidRPr="00173FE6">
        <w:rPr>
          <w:color w:val="000000"/>
          <w:sz w:val="28"/>
          <w:szCs w:val="28"/>
        </w:rPr>
        <w:t> La Iglesia, ya en los tiempos apostólicos (cf. </w:t>
      </w:r>
      <w:r w:rsidRPr="00173FE6">
        <w:rPr>
          <w:i/>
          <w:iCs/>
          <w:color w:val="000000"/>
          <w:sz w:val="28"/>
          <w:szCs w:val="28"/>
        </w:rPr>
        <w:t>1 Cor</w:t>
      </w:r>
      <w:r w:rsidRPr="00173FE6">
        <w:rPr>
          <w:color w:val="000000"/>
          <w:sz w:val="28"/>
          <w:szCs w:val="28"/>
        </w:rPr>
        <w:t> 10,6.11;</w:t>
      </w:r>
      <w:r w:rsidRPr="00173FE6">
        <w:rPr>
          <w:i/>
          <w:iCs/>
          <w:color w:val="000000"/>
          <w:sz w:val="28"/>
          <w:szCs w:val="28"/>
        </w:rPr>
        <w:t> Hb</w:t>
      </w:r>
      <w:r w:rsidRPr="00173FE6">
        <w:rPr>
          <w:color w:val="000000"/>
          <w:sz w:val="28"/>
          <w:szCs w:val="28"/>
        </w:rPr>
        <w:t> 10,1; </w:t>
      </w:r>
      <w:r w:rsidRPr="00173FE6">
        <w:rPr>
          <w:i/>
          <w:iCs/>
          <w:color w:val="000000"/>
          <w:sz w:val="28"/>
          <w:szCs w:val="28"/>
        </w:rPr>
        <w:t>1 Pe</w:t>
      </w:r>
      <w:r w:rsidRPr="00173FE6">
        <w:rPr>
          <w:color w:val="000000"/>
          <w:sz w:val="28"/>
          <w:szCs w:val="28"/>
        </w:rPr>
        <w:t> 3,21), y después constantemente en su tradición, esclareció la unidad del plan divino en los dos Testamentos gracias a la </w:t>
      </w:r>
      <w:r w:rsidRPr="00173FE6">
        <w:rPr>
          <w:i/>
          <w:iCs/>
          <w:color w:val="000000"/>
          <w:sz w:val="28"/>
          <w:szCs w:val="28"/>
        </w:rPr>
        <w:t>tipología</w:t>
      </w:r>
      <w:r w:rsidRPr="00173FE6">
        <w:rPr>
          <w:color w:val="000000"/>
          <w:sz w:val="28"/>
          <w:szCs w:val="28"/>
        </w:rPr>
        <w:t>. Esta reconoce, en las obras de Dios en la Antigua Alianza, prefiguraciones de lo que Dios realizó en la plenitud de los tiempos en la persona de su Hijo encarnado.</w:t>
      </w: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t>129</w:t>
      </w:r>
      <w:r w:rsidRPr="00173FE6">
        <w:rPr>
          <w:color w:val="000000"/>
          <w:sz w:val="28"/>
          <w:szCs w:val="28"/>
        </w:rPr>
        <w:t> Los cristianos, por tanto, leen el Antiguo Testamento a la luz de Cristo muerto y resucitado. Esta lectura tipológica manifiesta el contenido inagotable del Antiguo Testamento. Ella no debe hacer olvidar que el Antiguo Testamento conserva su valor propio de revelación que nuestro Señor mismo reafirmó (cf. </w:t>
      </w:r>
      <w:r w:rsidRPr="00173FE6">
        <w:rPr>
          <w:i/>
          <w:iCs/>
          <w:color w:val="000000"/>
          <w:sz w:val="28"/>
          <w:szCs w:val="28"/>
        </w:rPr>
        <w:t>Mc</w:t>
      </w:r>
      <w:r w:rsidRPr="00173FE6">
        <w:rPr>
          <w:color w:val="000000"/>
          <w:sz w:val="28"/>
          <w:szCs w:val="28"/>
        </w:rPr>
        <w:t> 12,29-31). Por otra parte, el Nuevo Testamento exige ser leído también a la luz del Antiguo. La catequesis cristiana primitiva recurrirá constantemente a él (cf. </w:t>
      </w:r>
      <w:r w:rsidRPr="00173FE6">
        <w:rPr>
          <w:i/>
          <w:iCs/>
          <w:color w:val="000000"/>
          <w:sz w:val="28"/>
          <w:szCs w:val="28"/>
        </w:rPr>
        <w:t>1 Co</w:t>
      </w:r>
      <w:r w:rsidRPr="00173FE6">
        <w:rPr>
          <w:color w:val="000000"/>
          <w:sz w:val="28"/>
          <w:szCs w:val="28"/>
        </w:rPr>
        <w:t> 5,6-8; 10,1-11). Según un viejo adagio, el Nuevo Testamento está escondido en el Antiguo, mientras que el Antiguo se hace manifiesto en el Nuevo: </w:t>
      </w:r>
      <w:r w:rsidRPr="00173FE6">
        <w:rPr>
          <w:i/>
          <w:iCs/>
          <w:color w:val="000000"/>
          <w:sz w:val="28"/>
          <w:szCs w:val="28"/>
        </w:rPr>
        <w:t>Novum in Vetere latet et in Novo Vetus patet</w:t>
      </w:r>
      <w:r w:rsidRPr="00173FE6">
        <w:rPr>
          <w:color w:val="000000"/>
          <w:sz w:val="28"/>
          <w:szCs w:val="28"/>
        </w:rPr>
        <w:t> (San Agustín, </w:t>
      </w:r>
      <w:r w:rsidRPr="00173FE6">
        <w:rPr>
          <w:i/>
          <w:iCs/>
          <w:color w:val="000000"/>
          <w:sz w:val="28"/>
          <w:szCs w:val="28"/>
        </w:rPr>
        <w:t>Quaestiones in Heptateuchum</w:t>
      </w:r>
      <w:r w:rsidRPr="00173FE6">
        <w:rPr>
          <w:color w:val="000000"/>
          <w:sz w:val="28"/>
          <w:szCs w:val="28"/>
        </w:rPr>
        <w:t> 2,73; cf. </w:t>
      </w:r>
      <w:hyperlink r:id="rId11" w:history="1">
        <w:r w:rsidRPr="00173FE6">
          <w:rPr>
            <w:color w:val="0000FF"/>
            <w:sz w:val="28"/>
            <w:szCs w:val="28"/>
            <w:u w:val="single"/>
          </w:rPr>
          <w:t>DV</w:t>
        </w:r>
      </w:hyperlink>
      <w:r w:rsidRPr="00173FE6">
        <w:rPr>
          <w:color w:val="000000"/>
          <w:sz w:val="28"/>
          <w:szCs w:val="28"/>
        </w:rPr>
        <w:t> 16).</w:t>
      </w: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t>130</w:t>
      </w:r>
      <w:r w:rsidRPr="00173FE6">
        <w:rPr>
          <w:color w:val="000000"/>
          <w:sz w:val="28"/>
          <w:szCs w:val="28"/>
        </w:rPr>
        <w:t> La tipología significa un dinamismo que se orienta al cumplimiento del plan divino cuando «Dios sea todo en todo» (</w:t>
      </w:r>
      <w:r w:rsidRPr="00173FE6">
        <w:rPr>
          <w:i/>
          <w:iCs/>
          <w:color w:val="000000"/>
          <w:sz w:val="28"/>
          <w:szCs w:val="28"/>
        </w:rPr>
        <w:t>1 Co</w:t>
      </w:r>
      <w:r w:rsidRPr="00173FE6">
        <w:rPr>
          <w:color w:val="000000"/>
          <w:sz w:val="28"/>
          <w:szCs w:val="28"/>
        </w:rPr>
        <w:t> 15, 28). Así la vocación de los patriarcas y el éxodo de Egipto, por ejemplo, no pierden su valor propio en el plan de Dios por el hecho de que son al mismo tiempo etapas intermedias.</w:t>
      </w:r>
    </w:p>
    <w:p w:rsidR="00B601DF" w:rsidRPr="00173FE6" w:rsidRDefault="00B601DF" w:rsidP="00B601DF">
      <w:pPr>
        <w:spacing w:before="100" w:beforeAutospacing="1" w:after="100" w:afterAutospacing="1"/>
        <w:jc w:val="center"/>
        <w:rPr>
          <w:b/>
          <w:bCs/>
          <w:color w:val="000000"/>
          <w:sz w:val="28"/>
          <w:szCs w:val="28"/>
          <w:u w:val="single"/>
        </w:rPr>
      </w:pPr>
      <w:bookmarkStart w:id="0" w:name="V_La_Sagrada_Escritura_en_la_vida_de_la_"/>
    </w:p>
    <w:p w:rsidR="00B601DF" w:rsidRPr="00173FE6" w:rsidRDefault="00B601DF" w:rsidP="00B601DF">
      <w:pPr>
        <w:spacing w:before="100" w:beforeAutospacing="1" w:after="100" w:afterAutospacing="1"/>
        <w:jc w:val="center"/>
        <w:rPr>
          <w:color w:val="000000"/>
          <w:sz w:val="28"/>
          <w:szCs w:val="28"/>
          <w:u w:val="single"/>
        </w:rPr>
      </w:pPr>
      <w:r w:rsidRPr="00173FE6">
        <w:rPr>
          <w:b/>
          <w:bCs/>
          <w:color w:val="000000"/>
          <w:sz w:val="28"/>
          <w:szCs w:val="28"/>
          <w:u w:val="single"/>
        </w:rPr>
        <w:t>La Sagrada Escritura en la vida de la Iglesia</w:t>
      </w:r>
      <w:bookmarkEnd w:id="0"/>
    </w:p>
    <w:p w:rsidR="00B601DF" w:rsidRPr="00173FE6" w:rsidRDefault="00B601DF" w:rsidP="00B601DF">
      <w:pPr>
        <w:spacing w:before="100" w:beforeAutospacing="1" w:after="100" w:afterAutospacing="1"/>
        <w:rPr>
          <w:b/>
          <w:bCs/>
          <w:color w:val="000000"/>
          <w:sz w:val="28"/>
          <w:szCs w:val="28"/>
        </w:rPr>
      </w:pP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t>131</w:t>
      </w:r>
      <w:r w:rsidRPr="00173FE6">
        <w:rPr>
          <w:color w:val="000000"/>
          <w:sz w:val="28"/>
          <w:szCs w:val="28"/>
        </w:rPr>
        <w:t> «Es tan grande el poder y la fuerza de la Palabra de Dios, que constituye sustento y vigor para la Iglesia, firmeza de fe para sus hijos, alimento del alma, fuente límpida y perenne de vida espiritual» (</w:t>
      </w:r>
      <w:hyperlink r:id="rId12" w:history="1">
        <w:r w:rsidRPr="00173FE6">
          <w:rPr>
            <w:color w:val="0000FF"/>
            <w:sz w:val="28"/>
            <w:szCs w:val="28"/>
            <w:u w:val="single"/>
          </w:rPr>
          <w:t>DV</w:t>
        </w:r>
      </w:hyperlink>
      <w:r w:rsidRPr="00173FE6">
        <w:rPr>
          <w:color w:val="000000"/>
          <w:sz w:val="28"/>
          <w:szCs w:val="28"/>
        </w:rPr>
        <w:t> 21). «Los fieles han de tener fácil acceso a la Sagrada Escritura» (</w:t>
      </w:r>
      <w:hyperlink r:id="rId13" w:history="1">
        <w:r w:rsidRPr="00173FE6">
          <w:rPr>
            <w:color w:val="0000FF"/>
            <w:sz w:val="28"/>
            <w:szCs w:val="28"/>
            <w:u w:val="single"/>
          </w:rPr>
          <w:t>DV</w:t>
        </w:r>
      </w:hyperlink>
      <w:r w:rsidRPr="00173FE6">
        <w:rPr>
          <w:color w:val="000000"/>
          <w:sz w:val="28"/>
          <w:szCs w:val="28"/>
        </w:rPr>
        <w:t> 22).</w:t>
      </w: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lastRenderedPageBreak/>
        <w:t>132</w:t>
      </w:r>
      <w:r w:rsidRPr="00173FE6">
        <w:rPr>
          <w:color w:val="000000"/>
          <w:sz w:val="28"/>
          <w:szCs w:val="28"/>
        </w:rPr>
        <w:t> «La sagrada Escritura debe ser como el alma de la sagrada teología. El ministerio de la palabra, que incluye la predicación pastoral, la catequesis, toda la instrucción cristiana y, en puesto privilegiado, la homilía, recibe de la palabra de la Escritura alimento saludable y por ella da frutos de santidad» (</w:t>
      </w:r>
      <w:hyperlink r:id="rId14" w:history="1">
        <w:r w:rsidRPr="00173FE6">
          <w:rPr>
            <w:color w:val="0000FF"/>
            <w:sz w:val="28"/>
            <w:szCs w:val="28"/>
            <w:u w:val="single"/>
          </w:rPr>
          <w:t>DV</w:t>
        </w:r>
      </w:hyperlink>
      <w:r w:rsidRPr="00173FE6">
        <w:rPr>
          <w:color w:val="000000"/>
          <w:sz w:val="28"/>
          <w:szCs w:val="28"/>
        </w:rPr>
        <w:t> 24).</w:t>
      </w:r>
    </w:p>
    <w:p w:rsidR="00B601DF" w:rsidRPr="00173FE6" w:rsidRDefault="00B601DF" w:rsidP="00B601DF">
      <w:pPr>
        <w:spacing w:before="100" w:beforeAutospacing="1" w:after="100" w:afterAutospacing="1"/>
        <w:rPr>
          <w:color w:val="000000"/>
          <w:sz w:val="28"/>
          <w:szCs w:val="28"/>
        </w:rPr>
      </w:pPr>
      <w:r w:rsidRPr="00173FE6">
        <w:rPr>
          <w:b/>
          <w:bCs/>
          <w:color w:val="000000"/>
          <w:sz w:val="28"/>
          <w:szCs w:val="28"/>
        </w:rPr>
        <w:t>133</w:t>
      </w:r>
      <w:r w:rsidRPr="00173FE6">
        <w:rPr>
          <w:color w:val="000000"/>
          <w:sz w:val="28"/>
          <w:szCs w:val="28"/>
        </w:rPr>
        <w:t> La Iglesia «recomienda de modo especial e insistentemente a todos los fieles [...] la lectura asidua de las divinas Escrituras para que adquieran "la ciencia suprema de Jesucristo» (</w:t>
      </w:r>
      <w:r w:rsidRPr="00173FE6">
        <w:rPr>
          <w:i/>
          <w:iCs/>
          <w:color w:val="000000"/>
          <w:sz w:val="28"/>
          <w:szCs w:val="28"/>
        </w:rPr>
        <w:t>Flp</w:t>
      </w:r>
      <w:r w:rsidRPr="00173FE6">
        <w:rPr>
          <w:color w:val="000000"/>
          <w:sz w:val="28"/>
          <w:szCs w:val="28"/>
        </w:rPr>
        <w:t> 3,8), «pues desconocer la Escritura es desconocer a Cristo» (</w:t>
      </w:r>
      <w:hyperlink r:id="rId15" w:history="1">
        <w:r w:rsidRPr="00173FE6">
          <w:rPr>
            <w:color w:val="0000FF"/>
            <w:sz w:val="28"/>
            <w:szCs w:val="28"/>
            <w:u w:val="single"/>
          </w:rPr>
          <w:t>DV</w:t>
        </w:r>
      </w:hyperlink>
      <w:r w:rsidRPr="00173FE6">
        <w:rPr>
          <w:color w:val="000000"/>
          <w:sz w:val="28"/>
          <w:szCs w:val="28"/>
        </w:rPr>
        <w:t> 25; cf. San Jerónimo, </w:t>
      </w:r>
      <w:r w:rsidRPr="00173FE6">
        <w:rPr>
          <w:i/>
          <w:iCs/>
          <w:color w:val="000000"/>
          <w:sz w:val="28"/>
          <w:szCs w:val="28"/>
        </w:rPr>
        <w:t>Commentarii in Isaiam</w:t>
      </w:r>
      <w:r w:rsidRPr="00173FE6">
        <w:rPr>
          <w:color w:val="000000"/>
          <w:sz w:val="28"/>
          <w:szCs w:val="28"/>
        </w:rPr>
        <w:t>, Prólogo: CCL 73, 1 [PL 24, 17]).</w:t>
      </w:r>
    </w:p>
    <w:p w:rsidR="00B601DF" w:rsidRDefault="00B601DF"/>
    <w:sectPr w:rsidR="00B601DF" w:rsidSect="00B601DF">
      <w:pgSz w:w="12240" w:h="2016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DF"/>
    <w:rsid w:val="002B5D76"/>
    <w:rsid w:val="00B601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C8FD2F1"/>
  <w15:chartTrackingRefBased/>
  <w15:docId w15:val="{787B78A6-8DC5-DE42-976A-0060B674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DF"/>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hist_councils/ii_vatican_council/documents/vat-ii_const_19651118_dei-verbum_sp.html" TargetMode="External"/><Relationship Id="rId13" Type="http://schemas.openxmlformats.org/officeDocument/2006/relationships/hyperlink" Target="http://www.vatican.va/archive/hist_councils/ii_vatican_council/documents/vat-ii_const_19651118_dei-verbum_sp.html" TargetMode="External"/><Relationship Id="rId3" Type="http://schemas.openxmlformats.org/officeDocument/2006/relationships/webSettings" Target="webSettings.xml"/><Relationship Id="rId7" Type="http://schemas.openxmlformats.org/officeDocument/2006/relationships/hyperlink" Target="http://www.vatican.va/archive/hist_councils/ii_vatican_council/documents/vat-ii_const_19651118_dei-verbum_sp.html" TargetMode="External"/><Relationship Id="rId12" Type="http://schemas.openxmlformats.org/officeDocument/2006/relationships/hyperlink" Target="http://www.vatican.va/archive/hist_councils/ii_vatican_council/documents/vat-ii_const_19651118_dei-verbum_sp.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vatican.va/archive/hist_councils/ii_vatican_council/documents/vat-ii_const_19651118_dei-verbum_sp.html" TargetMode="External"/><Relationship Id="rId11" Type="http://schemas.openxmlformats.org/officeDocument/2006/relationships/hyperlink" Target="http://www.vatican.va/archive/hist_councils/ii_vatican_council/documents/vat-ii_const_19651118_dei-verbum_sp.html" TargetMode="External"/><Relationship Id="rId5" Type="http://schemas.openxmlformats.org/officeDocument/2006/relationships/hyperlink" Target="http://www.vatican.va/archive/hist_councils/ii_vatican_council/documents/vat-ii_const_19651118_dei-verbum_sp.html" TargetMode="External"/><Relationship Id="rId15" Type="http://schemas.openxmlformats.org/officeDocument/2006/relationships/hyperlink" Target="http://www.vatican.va/archive/hist_councils/ii_vatican_council/documents/vat-ii_const_19651118_dei-verbum_sp.html" TargetMode="External"/><Relationship Id="rId10" Type="http://schemas.openxmlformats.org/officeDocument/2006/relationships/hyperlink" Target="http://www.vatican.va/archive/hist_councils/ii_vatican_council/documents/vat-ii_const_19651118_dei-verbum_sp.html" TargetMode="External"/><Relationship Id="rId4" Type="http://schemas.openxmlformats.org/officeDocument/2006/relationships/hyperlink" Target="http://www.vatican.va/archive/hist_councils/ii_vatican_council/documents/vat-ii_const_19651118_dei-verbum_sp.html" TargetMode="External"/><Relationship Id="rId9" Type="http://schemas.openxmlformats.org/officeDocument/2006/relationships/hyperlink" Target="http://www.vatican.va/archive/hist_councils/ii_vatican_council/documents/vat-ii_const_19651118_dei-verbum_sp.html" TargetMode="External"/><Relationship Id="rId14" Type="http://schemas.openxmlformats.org/officeDocument/2006/relationships/hyperlink" Target="http://www.vatican.va/archive/hist_councils/ii_vatican_council/documents/vat-ii_const_19651118_dei-verbum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1370</Words>
  <Characters>7535</Characters>
  <Application>Microsoft Office Word</Application>
  <DocSecurity>0</DocSecurity>
  <Lines>62</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2020-05-11T01:42:00Z</dcterms:created>
  <dcterms:modified xsi:type="dcterms:W3CDTF">2020-05-11T01:45:00Z</dcterms:modified>
</cp:coreProperties>
</file>