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488" w:rsidRPr="00AD0488" w:rsidRDefault="00AD0488" w:rsidP="00AD0488">
      <w:pPr>
        <w:shd w:val="clear" w:color="auto" w:fill="FFFFFF"/>
        <w:spacing w:before="450" w:after="75" w:line="255" w:lineRule="atLeast"/>
        <w:textAlignment w:val="baseline"/>
        <w:outlineLvl w:val="0"/>
        <w:rPr>
          <w:rFonts w:ascii="Arial" w:eastAsia="Times New Roman" w:hAnsi="Arial" w:cs="Arial"/>
          <w:b/>
          <w:bCs/>
          <w:color w:val="008888"/>
          <w:kern w:val="36"/>
          <w:sz w:val="29"/>
          <w:szCs w:val="29"/>
          <w:lang w:eastAsia="es-AR"/>
        </w:rPr>
      </w:pPr>
      <w:bookmarkStart w:id="0" w:name="_GoBack"/>
      <w:bookmarkEnd w:id="0"/>
      <w:r w:rsidRPr="00AD0488">
        <w:rPr>
          <w:rFonts w:ascii="Arial" w:eastAsia="Times New Roman" w:hAnsi="Arial" w:cs="Arial"/>
          <w:b/>
          <w:bCs/>
          <w:color w:val="008888"/>
          <w:kern w:val="36"/>
          <w:sz w:val="29"/>
          <w:szCs w:val="29"/>
          <w:lang w:eastAsia="es-AR"/>
        </w:rPr>
        <w:t>Demencia tipo Alzheimer</w:t>
      </w:r>
    </w:p>
    <w:p w:rsidR="00AD0488" w:rsidRPr="00AD0488" w:rsidRDefault="00AD0488" w:rsidP="00AD0488">
      <w:pPr>
        <w:spacing w:after="0" w:line="240" w:lineRule="auto"/>
        <w:rPr>
          <w:rFonts w:ascii="Times New Roman" w:eastAsia="Times New Roman" w:hAnsi="Times New Roman" w:cs="Times New Roman"/>
          <w:sz w:val="24"/>
          <w:szCs w:val="24"/>
          <w:lang w:eastAsia="es-AR"/>
        </w:rPr>
      </w:pPr>
      <w:r w:rsidRPr="00AD0488">
        <w:rPr>
          <w:rFonts w:ascii="Arial" w:eastAsia="Times New Roman" w:hAnsi="Arial" w:cs="Arial"/>
          <w:color w:val="212121"/>
          <w:sz w:val="18"/>
          <w:szCs w:val="18"/>
          <w:shd w:val="clear" w:color="auto" w:fill="FFFFFF"/>
          <w:lang w:eastAsia="es-AR"/>
        </w:rPr>
        <w:t>Fecha de la última revisión: </w:t>
      </w:r>
      <w:r w:rsidRPr="00AD0488">
        <w:rPr>
          <w:rFonts w:ascii="Arial" w:eastAsia="Times New Roman" w:hAnsi="Arial" w:cs="Arial"/>
          <w:b/>
          <w:bCs/>
          <w:color w:val="212121"/>
          <w:sz w:val="18"/>
          <w:szCs w:val="18"/>
          <w:bdr w:val="none" w:sz="0" w:space="0" w:color="auto" w:frame="1"/>
          <w:shd w:val="clear" w:color="auto" w:fill="FFFFFF"/>
          <w:lang w:eastAsia="es-AR"/>
        </w:rPr>
        <w:t>05/02/2013</w:t>
      </w:r>
      <w:r w:rsidRPr="00AD0488">
        <w:rPr>
          <w:rFonts w:ascii="Arial" w:eastAsia="Times New Roman" w:hAnsi="Arial" w:cs="Arial"/>
          <w:color w:val="212121"/>
          <w:sz w:val="18"/>
          <w:szCs w:val="18"/>
          <w:shd w:val="clear" w:color="auto" w:fill="FFFFFF"/>
          <w:lang w:eastAsia="es-AR"/>
        </w:rPr>
        <w:t> </w:t>
      </w:r>
      <w:r w:rsidRPr="00AD0488">
        <w:rPr>
          <w:rFonts w:ascii="Arial" w:eastAsia="Times New Roman" w:hAnsi="Arial" w:cs="Arial"/>
          <w:color w:val="212121"/>
          <w:sz w:val="18"/>
          <w:szCs w:val="18"/>
          <w:lang w:eastAsia="es-AR"/>
        </w:rPr>
        <w:br/>
      </w:r>
    </w:p>
    <w:p w:rsidR="00AD0488" w:rsidRPr="00AD0488" w:rsidRDefault="00FB5C3E" w:rsidP="00AD0488">
      <w:pPr>
        <w:numPr>
          <w:ilvl w:val="0"/>
          <w:numId w:val="24"/>
        </w:numPr>
        <w:pBdr>
          <w:left w:val="single" w:sz="6" w:space="0" w:color="DEDEDE"/>
        </w:pBdr>
        <w:shd w:val="clear" w:color="auto" w:fill="FFFFFF"/>
        <w:spacing w:after="0" w:line="240" w:lineRule="auto"/>
        <w:ind w:left="75"/>
        <w:textAlignment w:val="baseline"/>
        <w:rPr>
          <w:rFonts w:ascii="Arial" w:eastAsia="Times New Roman" w:hAnsi="Arial" w:cs="Arial"/>
          <w:color w:val="212121"/>
          <w:sz w:val="18"/>
          <w:szCs w:val="18"/>
          <w:lang w:eastAsia="es-AR"/>
        </w:rPr>
      </w:pPr>
      <w:hyperlink r:id="rId5" w:anchor="guia" w:tgtFrame="_blank" w:history="1">
        <w:r w:rsidR="00AD0488" w:rsidRPr="00AD0488">
          <w:rPr>
            <w:rFonts w:ascii="Arial" w:eastAsia="Times New Roman" w:hAnsi="Arial" w:cs="Arial"/>
            <w:caps/>
            <w:noProof/>
            <w:color w:val="FFAC00"/>
            <w:sz w:val="18"/>
            <w:szCs w:val="18"/>
            <w:lang w:eastAsia="es-AR"/>
          </w:rPr>
          <w:drawing>
            <wp:inline distT="0" distB="0" distL="0" distR="0" wp14:anchorId="3711E0F1" wp14:editId="1F2A9A21">
              <wp:extent cx="200025" cy="190500"/>
              <wp:effectExtent l="0" t="0" r="9525" b="0"/>
              <wp:docPr id="4" name="Imagen 4" descr="http://www.fisterra.com/graficos/icoPestaGuia.gif">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isterra.com/graficos/icoPestaGuia.gif">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AD0488" w:rsidRPr="00AD0488">
          <w:rPr>
            <w:rFonts w:ascii="Arial" w:eastAsia="Times New Roman" w:hAnsi="Arial" w:cs="Arial"/>
            <w:caps/>
            <w:color w:val="FFAC00"/>
            <w:sz w:val="18"/>
            <w:szCs w:val="18"/>
            <w:u w:val="single"/>
            <w:lang w:eastAsia="es-AR"/>
          </w:rPr>
          <w:t>GUÍA</w:t>
        </w:r>
      </w:hyperlink>
    </w:p>
    <w:p w:rsidR="00AD0488" w:rsidRPr="00AD0488" w:rsidRDefault="00FB5C3E" w:rsidP="00AD0488">
      <w:pPr>
        <w:numPr>
          <w:ilvl w:val="0"/>
          <w:numId w:val="24"/>
        </w:numPr>
        <w:pBdr>
          <w:left w:val="single" w:sz="6" w:space="0" w:color="DEDEDE"/>
        </w:pBdr>
        <w:shd w:val="clear" w:color="auto" w:fill="FFFFFF"/>
        <w:spacing w:after="0" w:line="240" w:lineRule="auto"/>
        <w:ind w:left="0"/>
        <w:textAlignment w:val="baseline"/>
        <w:rPr>
          <w:rFonts w:ascii="Arial" w:eastAsia="Times New Roman" w:hAnsi="Arial" w:cs="Arial"/>
          <w:color w:val="555555"/>
          <w:sz w:val="18"/>
          <w:szCs w:val="18"/>
          <w:lang w:eastAsia="es-AR"/>
        </w:rPr>
      </w:pPr>
      <w:hyperlink r:id="rId8" w:anchor="algoritmos" w:tgtFrame="_blank" w:history="1">
        <w:r w:rsidR="00AD0488" w:rsidRPr="00AD0488">
          <w:rPr>
            <w:rFonts w:ascii="Arial" w:eastAsia="Times New Roman" w:hAnsi="Arial" w:cs="Arial"/>
            <w:caps/>
            <w:noProof/>
            <w:color w:val="A9A9A9"/>
            <w:sz w:val="18"/>
            <w:szCs w:val="18"/>
            <w:lang w:eastAsia="es-AR"/>
          </w:rPr>
          <w:drawing>
            <wp:inline distT="0" distB="0" distL="0" distR="0" wp14:anchorId="43EF4BA0" wp14:editId="67872071">
              <wp:extent cx="200025" cy="190500"/>
              <wp:effectExtent l="0" t="0" r="9525" b="0"/>
              <wp:docPr id="5" name="Imagen 5" descr="http://www.fisterra.com/graficos/icoPestaAlgoritmos.gif">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isterra.com/graficos/icoPestaAlgoritmos.gif">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AD0488" w:rsidRPr="00AD0488">
          <w:rPr>
            <w:rFonts w:ascii="Arial" w:eastAsia="Times New Roman" w:hAnsi="Arial" w:cs="Arial"/>
            <w:caps/>
            <w:color w:val="A9A9A9"/>
            <w:sz w:val="18"/>
            <w:szCs w:val="18"/>
            <w:u w:val="single"/>
            <w:lang w:eastAsia="es-AR"/>
          </w:rPr>
          <w:t>ALGORITMOS</w:t>
        </w:r>
      </w:hyperlink>
    </w:p>
    <w:tbl>
      <w:tblPr>
        <w:tblW w:w="0" w:type="auto"/>
        <w:tblCellMar>
          <w:left w:w="0" w:type="dxa"/>
          <w:right w:w="0" w:type="dxa"/>
        </w:tblCellMar>
        <w:tblLook w:val="04A0" w:firstRow="1" w:lastRow="0" w:firstColumn="1" w:lastColumn="0" w:noHBand="0" w:noVBand="1"/>
      </w:tblPr>
      <w:tblGrid>
        <w:gridCol w:w="4443"/>
        <w:gridCol w:w="186"/>
        <w:gridCol w:w="3875"/>
      </w:tblGrid>
      <w:tr w:rsidR="00AD0488" w:rsidRPr="00AD0488" w:rsidTr="00AD0488">
        <w:tc>
          <w:tcPr>
            <w:tcW w:w="6000" w:type="dxa"/>
            <w:tcBorders>
              <w:top w:val="nil"/>
              <w:left w:val="nil"/>
              <w:bottom w:val="nil"/>
              <w:right w:val="nil"/>
            </w:tcBorders>
            <w:vAlign w:val="bottom"/>
            <w:hideMark/>
          </w:tcPr>
          <w:p w:rsidR="00AD0488" w:rsidRPr="00AD0488" w:rsidRDefault="00AD0488" w:rsidP="00AD0488">
            <w:pPr>
              <w:spacing w:before="225" w:after="75" w:line="240" w:lineRule="auto"/>
              <w:textAlignment w:val="baseline"/>
              <w:outlineLvl w:val="1"/>
              <w:rPr>
                <w:rFonts w:ascii="Times New Roman" w:eastAsia="Times New Roman" w:hAnsi="Times New Roman" w:cs="Times New Roman"/>
                <w:b/>
                <w:bCs/>
                <w:color w:val="008888"/>
                <w:lang w:eastAsia="es-AR"/>
              </w:rPr>
            </w:pPr>
            <w:r w:rsidRPr="00AD0488">
              <w:rPr>
                <w:rFonts w:ascii="Times New Roman" w:eastAsia="Times New Roman" w:hAnsi="Times New Roman" w:cs="Times New Roman"/>
                <w:b/>
                <w:bCs/>
                <w:color w:val="008888"/>
                <w:lang w:eastAsia="es-AR"/>
              </w:rPr>
              <w:t>Índice de contenidos</w:t>
            </w:r>
          </w:p>
          <w:p w:rsidR="00AD0488" w:rsidRPr="00AD0488" w:rsidRDefault="00FB5C3E" w:rsidP="00AD0488">
            <w:pPr>
              <w:numPr>
                <w:ilvl w:val="0"/>
                <w:numId w:val="25"/>
              </w:numPr>
              <w:spacing w:after="0" w:line="240" w:lineRule="auto"/>
              <w:ind w:left="450" w:right="300"/>
              <w:textAlignment w:val="baseline"/>
              <w:rPr>
                <w:rFonts w:ascii="Times New Roman" w:eastAsia="Times New Roman" w:hAnsi="Times New Roman" w:cs="Times New Roman"/>
                <w:sz w:val="18"/>
                <w:szCs w:val="18"/>
                <w:lang w:eastAsia="es-AR"/>
              </w:rPr>
            </w:pPr>
            <w:hyperlink r:id="rId11" w:anchor="2776" w:tgtFrame="_blank" w:history="1">
              <w:r w:rsidR="00AD0488" w:rsidRPr="00AD0488">
                <w:rPr>
                  <w:rFonts w:ascii="Times New Roman" w:eastAsia="Times New Roman" w:hAnsi="Times New Roman" w:cs="Times New Roman"/>
                  <w:color w:val="008888"/>
                  <w:sz w:val="18"/>
                  <w:szCs w:val="18"/>
                  <w:u w:val="single"/>
                  <w:lang w:eastAsia="es-AR"/>
                </w:rPr>
                <w:t>¿Qué es demencia y demencia tipo Alzheimer?</w:t>
              </w:r>
            </w:hyperlink>
          </w:p>
          <w:p w:rsidR="00AD0488" w:rsidRPr="00AD0488" w:rsidRDefault="00FB5C3E" w:rsidP="00AD0488">
            <w:pPr>
              <w:numPr>
                <w:ilvl w:val="0"/>
                <w:numId w:val="25"/>
              </w:numPr>
              <w:spacing w:after="0" w:line="240" w:lineRule="auto"/>
              <w:ind w:left="450" w:right="300"/>
              <w:textAlignment w:val="baseline"/>
              <w:rPr>
                <w:rFonts w:ascii="Times New Roman" w:eastAsia="Times New Roman" w:hAnsi="Times New Roman" w:cs="Times New Roman"/>
                <w:sz w:val="18"/>
                <w:szCs w:val="18"/>
                <w:lang w:eastAsia="es-AR"/>
              </w:rPr>
            </w:pPr>
            <w:hyperlink r:id="rId12" w:anchor="2271" w:tgtFrame="_blank" w:history="1">
              <w:r w:rsidR="00AD0488" w:rsidRPr="00AD0488">
                <w:rPr>
                  <w:rFonts w:ascii="Times New Roman" w:eastAsia="Times New Roman" w:hAnsi="Times New Roman" w:cs="Times New Roman"/>
                  <w:color w:val="008888"/>
                  <w:sz w:val="18"/>
                  <w:szCs w:val="18"/>
                  <w:u w:val="single"/>
                  <w:lang w:eastAsia="es-AR"/>
                </w:rPr>
                <w:t>¿Cuáles son las características clínicas de la DTA?</w:t>
              </w:r>
            </w:hyperlink>
          </w:p>
          <w:p w:rsidR="00AD0488" w:rsidRPr="00AD0488" w:rsidRDefault="00FB5C3E" w:rsidP="00AD0488">
            <w:pPr>
              <w:numPr>
                <w:ilvl w:val="0"/>
                <w:numId w:val="25"/>
              </w:numPr>
              <w:spacing w:after="0" w:line="240" w:lineRule="auto"/>
              <w:ind w:left="450" w:right="300"/>
              <w:textAlignment w:val="baseline"/>
              <w:rPr>
                <w:rFonts w:ascii="Times New Roman" w:eastAsia="Times New Roman" w:hAnsi="Times New Roman" w:cs="Times New Roman"/>
                <w:sz w:val="18"/>
                <w:szCs w:val="18"/>
                <w:lang w:eastAsia="es-AR"/>
              </w:rPr>
            </w:pPr>
            <w:hyperlink r:id="rId13" w:anchor="1658" w:tgtFrame="_blank" w:history="1">
              <w:r w:rsidR="00AD0488" w:rsidRPr="00AD0488">
                <w:rPr>
                  <w:rFonts w:ascii="Times New Roman" w:eastAsia="Times New Roman" w:hAnsi="Times New Roman" w:cs="Times New Roman"/>
                  <w:color w:val="008888"/>
                  <w:sz w:val="18"/>
                  <w:szCs w:val="18"/>
                  <w:u w:val="single"/>
                  <w:lang w:eastAsia="es-AR"/>
                </w:rPr>
                <w:t>¿Cómo se diagnostica la DTA?</w:t>
              </w:r>
            </w:hyperlink>
          </w:p>
          <w:p w:rsidR="00AD0488" w:rsidRPr="00AD0488" w:rsidRDefault="00FB5C3E" w:rsidP="00AD0488">
            <w:pPr>
              <w:numPr>
                <w:ilvl w:val="0"/>
                <w:numId w:val="25"/>
              </w:numPr>
              <w:spacing w:after="0" w:line="240" w:lineRule="auto"/>
              <w:ind w:left="450" w:right="300"/>
              <w:textAlignment w:val="baseline"/>
              <w:rPr>
                <w:rFonts w:ascii="Times New Roman" w:eastAsia="Times New Roman" w:hAnsi="Times New Roman" w:cs="Times New Roman"/>
                <w:sz w:val="18"/>
                <w:szCs w:val="18"/>
                <w:lang w:eastAsia="es-AR"/>
              </w:rPr>
            </w:pPr>
            <w:hyperlink r:id="rId14" w:anchor="3881" w:tgtFrame="_blank" w:history="1">
              <w:r w:rsidR="00AD0488" w:rsidRPr="00AD0488">
                <w:rPr>
                  <w:rFonts w:ascii="Times New Roman" w:eastAsia="Times New Roman" w:hAnsi="Times New Roman" w:cs="Times New Roman"/>
                  <w:color w:val="008888"/>
                  <w:sz w:val="18"/>
                  <w:szCs w:val="18"/>
                  <w:u w:val="single"/>
                  <w:lang w:eastAsia="es-AR"/>
                </w:rPr>
                <w:t>Exploraciones complementarias</w:t>
              </w:r>
            </w:hyperlink>
          </w:p>
          <w:p w:rsidR="00AD0488" w:rsidRPr="00AD0488" w:rsidRDefault="00FB5C3E" w:rsidP="00AD0488">
            <w:pPr>
              <w:numPr>
                <w:ilvl w:val="0"/>
                <w:numId w:val="25"/>
              </w:numPr>
              <w:spacing w:after="0" w:line="240" w:lineRule="auto"/>
              <w:ind w:left="450" w:right="300"/>
              <w:textAlignment w:val="baseline"/>
              <w:rPr>
                <w:rFonts w:ascii="Times New Roman" w:eastAsia="Times New Roman" w:hAnsi="Times New Roman" w:cs="Times New Roman"/>
                <w:sz w:val="18"/>
                <w:szCs w:val="18"/>
                <w:lang w:eastAsia="es-AR"/>
              </w:rPr>
            </w:pPr>
            <w:hyperlink r:id="rId15" w:anchor="3781" w:tgtFrame="_blank" w:history="1">
              <w:r w:rsidR="00AD0488" w:rsidRPr="00AD0488">
                <w:rPr>
                  <w:rFonts w:ascii="Times New Roman" w:eastAsia="Times New Roman" w:hAnsi="Times New Roman" w:cs="Times New Roman"/>
                  <w:color w:val="008888"/>
                  <w:sz w:val="18"/>
                  <w:szCs w:val="18"/>
                  <w:u w:val="single"/>
                  <w:lang w:eastAsia="es-AR"/>
                </w:rPr>
                <w:t>Diagnóstico diferencial</w:t>
              </w:r>
            </w:hyperlink>
          </w:p>
          <w:p w:rsidR="00AD0488" w:rsidRPr="00AD0488" w:rsidRDefault="00FB5C3E" w:rsidP="00AD0488">
            <w:pPr>
              <w:numPr>
                <w:ilvl w:val="0"/>
                <w:numId w:val="25"/>
              </w:numPr>
              <w:spacing w:after="0" w:line="240" w:lineRule="auto"/>
              <w:ind w:left="450" w:right="300"/>
              <w:textAlignment w:val="baseline"/>
              <w:rPr>
                <w:rFonts w:ascii="Times New Roman" w:eastAsia="Times New Roman" w:hAnsi="Times New Roman" w:cs="Times New Roman"/>
                <w:sz w:val="18"/>
                <w:szCs w:val="18"/>
                <w:lang w:eastAsia="es-AR"/>
              </w:rPr>
            </w:pPr>
            <w:hyperlink r:id="rId16" w:anchor="2128" w:tgtFrame="_blank" w:history="1">
              <w:r w:rsidR="00AD0488" w:rsidRPr="00AD0488">
                <w:rPr>
                  <w:rFonts w:ascii="Times New Roman" w:eastAsia="Times New Roman" w:hAnsi="Times New Roman" w:cs="Times New Roman"/>
                  <w:color w:val="008888"/>
                  <w:sz w:val="18"/>
                  <w:szCs w:val="18"/>
                  <w:u w:val="single"/>
                  <w:lang w:eastAsia="es-AR"/>
                </w:rPr>
                <w:t>¿Cómo tratarla?</w:t>
              </w:r>
            </w:hyperlink>
          </w:p>
          <w:p w:rsidR="00AD0488" w:rsidRPr="00AD0488" w:rsidRDefault="00FB5C3E" w:rsidP="00AD0488">
            <w:pPr>
              <w:numPr>
                <w:ilvl w:val="0"/>
                <w:numId w:val="25"/>
              </w:numPr>
              <w:spacing w:after="0" w:line="240" w:lineRule="auto"/>
              <w:ind w:left="450" w:right="300"/>
              <w:textAlignment w:val="baseline"/>
              <w:rPr>
                <w:rFonts w:ascii="Times New Roman" w:eastAsia="Times New Roman" w:hAnsi="Times New Roman" w:cs="Times New Roman"/>
                <w:sz w:val="18"/>
                <w:szCs w:val="18"/>
                <w:lang w:eastAsia="es-AR"/>
              </w:rPr>
            </w:pPr>
            <w:hyperlink r:id="rId17" w:anchor="3366" w:tgtFrame="_blank" w:history="1">
              <w:r w:rsidR="00AD0488" w:rsidRPr="00AD0488">
                <w:rPr>
                  <w:rFonts w:ascii="Times New Roman" w:eastAsia="Times New Roman" w:hAnsi="Times New Roman" w:cs="Times New Roman"/>
                  <w:color w:val="008888"/>
                  <w:sz w:val="18"/>
                  <w:szCs w:val="18"/>
                  <w:u w:val="single"/>
                  <w:lang w:eastAsia="es-AR"/>
                </w:rPr>
                <w:t>Bibliografía</w:t>
              </w:r>
            </w:hyperlink>
          </w:p>
          <w:p w:rsidR="00AD0488" w:rsidRPr="00AD0488" w:rsidRDefault="00FB5C3E" w:rsidP="00AD0488">
            <w:pPr>
              <w:numPr>
                <w:ilvl w:val="0"/>
                <w:numId w:val="25"/>
              </w:numPr>
              <w:spacing w:after="0" w:line="240" w:lineRule="auto"/>
              <w:ind w:left="450" w:right="300"/>
              <w:textAlignment w:val="baseline"/>
              <w:rPr>
                <w:rFonts w:ascii="Times New Roman" w:eastAsia="Times New Roman" w:hAnsi="Times New Roman" w:cs="Times New Roman"/>
                <w:sz w:val="18"/>
                <w:szCs w:val="18"/>
                <w:lang w:eastAsia="es-AR"/>
              </w:rPr>
            </w:pPr>
            <w:hyperlink r:id="rId18" w:anchor="756" w:tgtFrame="_blank" w:history="1">
              <w:r w:rsidR="00AD0488" w:rsidRPr="00AD0488">
                <w:rPr>
                  <w:rFonts w:ascii="Times New Roman" w:eastAsia="Times New Roman" w:hAnsi="Times New Roman" w:cs="Times New Roman"/>
                  <w:color w:val="008888"/>
                  <w:sz w:val="18"/>
                  <w:szCs w:val="18"/>
                  <w:u w:val="single"/>
                  <w:lang w:eastAsia="es-AR"/>
                </w:rPr>
                <w:t>Más en la red</w:t>
              </w:r>
            </w:hyperlink>
          </w:p>
          <w:p w:rsidR="00AD0488" w:rsidRPr="00AD0488" w:rsidRDefault="00FB5C3E" w:rsidP="00AD0488">
            <w:pPr>
              <w:numPr>
                <w:ilvl w:val="0"/>
                <w:numId w:val="25"/>
              </w:numPr>
              <w:spacing w:after="0" w:line="240" w:lineRule="auto"/>
              <w:ind w:left="450" w:right="300"/>
              <w:textAlignment w:val="baseline"/>
              <w:rPr>
                <w:rFonts w:ascii="Times New Roman" w:eastAsia="Times New Roman" w:hAnsi="Times New Roman" w:cs="Times New Roman"/>
                <w:sz w:val="18"/>
                <w:szCs w:val="18"/>
                <w:lang w:eastAsia="es-AR"/>
              </w:rPr>
            </w:pPr>
            <w:hyperlink r:id="rId19" w:anchor="757" w:tgtFrame="_blank" w:history="1">
              <w:r w:rsidR="00AD0488" w:rsidRPr="00AD0488">
                <w:rPr>
                  <w:rFonts w:ascii="Times New Roman" w:eastAsia="Times New Roman" w:hAnsi="Times New Roman" w:cs="Times New Roman"/>
                  <w:color w:val="008888"/>
                  <w:sz w:val="18"/>
                  <w:szCs w:val="18"/>
                  <w:u w:val="single"/>
                  <w:lang w:eastAsia="es-AR"/>
                </w:rPr>
                <w:t>Autores</w:t>
              </w:r>
            </w:hyperlink>
          </w:p>
        </w:tc>
        <w:tc>
          <w:tcPr>
            <w:tcW w:w="300" w:type="dxa"/>
            <w:tcBorders>
              <w:top w:val="nil"/>
              <w:left w:val="nil"/>
              <w:bottom w:val="nil"/>
              <w:right w:val="nil"/>
            </w:tcBorders>
            <w:vAlign w:val="bottom"/>
            <w:hideMark/>
          </w:tcPr>
          <w:p w:rsidR="00AD0488" w:rsidRPr="00AD0488" w:rsidRDefault="00AD0488" w:rsidP="00AD0488">
            <w:pPr>
              <w:numPr>
                <w:ilvl w:val="0"/>
                <w:numId w:val="25"/>
              </w:numPr>
              <w:spacing w:after="0" w:line="240" w:lineRule="auto"/>
              <w:ind w:left="450" w:right="300"/>
              <w:textAlignment w:val="baseline"/>
              <w:rPr>
                <w:rFonts w:ascii="Times New Roman" w:eastAsia="Times New Roman" w:hAnsi="Times New Roman" w:cs="Times New Roman"/>
                <w:sz w:val="18"/>
                <w:szCs w:val="18"/>
                <w:lang w:eastAsia="es-AR"/>
              </w:rPr>
            </w:pPr>
          </w:p>
        </w:tc>
        <w:tc>
          <w:tcPr>
            <w:tcW w:w="5550" w:type="dxa"/>
            <w:tcBorders>
              <w:top w:val="nil"/>
              <w:left w:val="nil"/>
              <w:bottom w:val="nil"/>
              <w:right w:val="nil"/>
            </w:tcBorders>
            <w:vAlign w:val="bottom"/>
            <w:hideMark/>
          </w:tcPr>
          <w:p w:rsidR="00AD0488" w:rsidRPr="00AD0488" w:rsidRDefault="00FB5C3E" w:rsidP="00AD0488">
            <w:pPr>
              <w:pBdr>
                <w:top w:val="single" w:sz="12" w:space="0" w:color="F4F4F4"/>
                <w:left w:val="single" w:sz="12" w:space="0" w:color="F4F4F4"/>
                <w:bottom w:val="single" w:sz="12" w:space="0" w:color="F4F4F4"/>
                <w:right w:val="single" w:sz="12" w:space="0" w:color="F4F4F4"/>
              </w:pBdr>
              <w:spacing w:after="0" w:line="240" w:lineRule="auto"/>
              <w:textAlignment w:val="baseline"/>
              <w:outlineLvl w:val="5"/>
              <w:rPr>
                <w:rFonts w:ascii="Arial" w:eastAsia="Times New Roman" w:hAnsi="Arial" w:cs="Arial"/>
                <w:b/>
                <w:bCs/>
                <w:color w:val="008888"/>
                <w:sz w:val="19"/>
                <w:szCs w:val="19"/>
                <w:lang w:eastAsia="es-AR"/>
              </w:rPr>
            </w:pPr>
            <w:hyperlink r:id="rId20" w:tgtFrame="_blank" w:history="1">
              <w:r w:rsidR="00AD0488" w:rsidRPr="00AD0488">
                <w:rPr>
                  <w:rFonts w:ascii="Arial" w:eastAsia="Times New Roman" w:hAnsi="Arial" w:cs="Arial"/>
                  <w:b/>
                  <w:bCs/>
                  <w:color w:val="008888"/>
                  <w:sz w:val="19"/>
                  <w:szCs w:val="19"/>
                  <w:u w:val="single"/>
                  <w:lang w:eastAsia="es-AR"/>
                </w:rPr>
                <w:t>Información para pacientes relacionada</w:t>
              </w:r>
            </w:hyperlink>
          </w:p>
          <w:p w:rsidR="00AD0488" w:rsidRPr="00AD0488" w:rsidRDefault="00FB5C3E" w:rsidP="00AD0488">
            <w:pPr>
              <w:pBdr>
                <w:top w:val="single" w:sz="12" w:space="0" w:color="F4F4F4"/>
                <w:left w:val="single" w:sz="12" w:space="0" w:color="F4F4F4"/>
                <w:bottom w:val="single" w:sz="12" w:space="0" w:color="F4F4F4"/>
                <w:right w:val="single" w:sz="12" w:space="0" w:color="F4F4F4"/>
              </w:pBdr>
              <w:spacing w:after="0" w:line="240" w:lineRule="auto"/>
              <w:textAlignment w:val="baseline"/>
              <w:outlineLvl w:val="5"/>
              <w:rPr>
                <w:rFonts w:ascii="Arial" w:eastAsia="Times New Roman" w:hAnsi="Arial" w:cs="Arial"/>
                <w:b/>
                <w:bCs/>
                <w:color w:val="008888"/>
                <w:sz w:val="19"/>
                <w:szCs w:val="19"/>
                <w:lang w:eastAsia="es-AR"/>
              </w:rPr>
            </w:pPr>
            <w:hyperlink r:id="rId21" w:tgtFrame="_blank" w:history="1">
              <w:r w:rsidR="00AD0488" w:rsidRPr="00AD0488">
                <w:rPr>
                  <w:rFonts w:ascii="Arial" w:eastAsia="Times New Roman" w:hAnsi="Arial" w:cs="Arial"/>
                  <w:b/>
                  <w:bCs/>
                  <w:color w:val="008888"/>
                  <w:sz w:val="19"/>
                  <w:szCs w:val="19"/>
                  <w:u w:val="single"/>
                  <w:lang w:eastAsia="es-AR"/>
                </w:rPr>
                <w:t>Trabajos recientes relacionados</w:t>
              </w:r>
            </w:hyperlink>
          </w:p>
          <w:p w:rsidR="00AD0488" w:rsidRPr="00AD0488" w:rsidRDefault="00FB5C3E" w:rsidP="00AD0488">
            <w:pPr>
              <w:pBdr>
                <w:top w:val="single" w:sz="12" w:space="0" w:color="F4F4F4"/>
                <w:left w:val="single" w:sz="12" w:space="0" w:color="F4F4F4"/>
                <w:bottom w:val="single" w:sz="12" w:space="0" w:color="F4F4F4"/>
                <w:right w:val="single" w:sz="12" w:space="0" w:color="F4F4F4"/>
              </w:pBdr>
              <w:spacing w:after="0" w:line="240" w:lineRule="auto"/>
              <w:textAlignment w:val="baseline"/>
              <w:outlineLvl w:val="5"/>
              <w:rPr>
                <w:rFonts w:ascii="Arial" w:eastAsia="Times New Roman" w:hAnsi="Arial" w:cs="Arial"/>
                <w:b/>
                <w:bCs/>
                <w:color w:val="008888"/>
                <w:sz w:val="19"/>
                <w:szCs w:val="19"/>
                <w:lang w:eastAsia="es-AR"/>
              </w:rPr>
            </w:pPr>
            <w:hyperlink r:id="rId22" w:tgtFrame="_blank" w:history="1">
              <w:r w:rsidR="00AD0488" w:rsidRPr="00AD0488">
                <w:rPr>
                  <w:rFonts w:ascii="Arial" w:eastAsia="Times New Roman" w:hAnsi="Arial" w:cs="Arial"/>
                  <w:b/>
                  <w:bCs/>
                  <w:color w:val="008888"/>
                  <w:sz w:val="19"/>
                  <w:szCs w:val="19"/>
                  <w:u w:val="single"/>
                  <w:lang w:eastAsia="es-AR"/>
                </w:rPr>
                <w:t>Comorbilidad</w:t>
              </w:r>
            </w:hyperlink>
          </w:p>
          <w:p w:rsidR="00AD0488" w:rsidRPr="00AD0488" w:rsidRDefault="00FB5C3E" w:rsidP="00AD0488">
            <w:pPr>
              <w:pBdr>
                <w:top w:val="single" w:sz="12" w:space="0" w:color="F4F4F4"/>
                <w:left w:val="single" w:sz="12" w:space="0" w:color="F4F4F4"/>
                <w:bottom w:val="single" w:sz="12" w:space="0" w:color="F4F4F4"/>
                <w:right w:val="single" w:sz="12" w:space="0" w:color="F4F4F4"/>
              </w:pBdr>
              <w:spacing w:after="0" w:line="240" w:lineRule="auto"/>
              <w:textAlignment w:val="baseline"/>
              <w:outlineLvl w:val="5"/>
              <w:rPr>
                <w:rFonts w:ascii="Arial" w:eastAsia="Times New Roman" w:hAnsi="Arial" w:cs="Arial"/>
                <w:b/>
                <w:bCs/>
                <w:color w:val="008888"/>
                <w:sz w:val="19"/>
                <w:szCs w:val="19"/>
                <w:lang w:eastAsia="es-AR"/>
              </w:rPr>
            </w:pPr>
            <w:hyperlink r:id="rId23" w:tgtFrame="_blank" w:history="1">
              <w:r w:rsidR="00AD0488" w:rsidRPr="00AD0488">
                <w:rPr>
                  <w:rFonts w:ascii="Arial" w:eastAsia="Times New Roman" w:hAnsi="Arial" w:cs="Arial"/>
                  <w:b/>
                  <w:bCs/>
                  <w:color w:val="008888"/>
                  <w:sz w:val="19"/>
                  <w:szCs w:val="19"/>
                  <w:u w:val="single"/>
                  <w:lang w:eastAsia="es-AR"/>
                </w:rPr>
                <w:t>Realizar comentarios o aportaciones</w:t>
              </w:r>
            </w:hyperlink>
          </w:p>
        </w:tc>
      </w:tr>
    </w:tbl>
    <w:p w:rsidR="00AD0488" w:rsidRPr="00AD0488" w:rsidRDefault="00AD0488" w:rsidP="00AD0488">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1" w:name="x_2776"/>
      <w:bookmarkEnd w:id="1"/>
      <w:r w:rsidRPr="00AD0488">
        <w:rPr>
          <w:rFonts w:ascii="Arial" w:eastAsia="Times New Roman" w:hAnsi="Arial" w:cs="Arial"/>
          <w:b/>
          <w:bCs/>
          <w:color w:val="008888"/>
          <w:sz w:val="21"/>
          <w:szCs w:val="21"/>
          <w:lang w:eastAsia="es-AR"/>
        </w:rPr>
        <w:t>¿Qué es demencia y demencia tipo Alzheimer?</w:t>
      </w:r>
    </w:p>
    <w:p w:rsidR="00AD0488" w:rsidRPr="00AD0488" w:rsidRDefault="00AD0488" w:rsidP="00AD0488">
      <w:pPr>
        <w:shd w:val="clear" w:color="auto" w:fill="FFFFFF"/>
        <w:spacing w:after="0" w:line="255" w:lineRule="atLeast"/>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br/>
        <w:t xml:space="preserve">La demencia se define como un síndrome adquirido de alteración intelectual, emocional, volitiva y conductual persistentes, que compromete la función de múltiples esferas de la actividad mental tales como la memoria, el lenguaje, las habilidades viso espaciales, la afectividad, la personalidad o la cognición. Implica un declinar respecto al nivel funcional </w:t>
      </w:r>
      <w:proofErr w:type="spellStart"/>
      <w:r w:rsidRPr="00AD0488">
        <w:rPr>
          <w:rFonts w:ascii="Arial" w:eastAsia="Times New Roman" w:hAnsi="Arial" w:cs="Arial"/>
          <w:color w:val="222222"/>
          <w:sz w:val="18"/>
          <w:szCs w:val="18"/>
          <w:lang w:eastAsia="es-AR"/>
        </w:rPr>
        <w:t>premórbido</w:t>
      </w:r>
      <w:proofErr w:type="spellEnd"/>
      <w:r w:rsidRPr="00AD0488">
        <w:rPr>
          <w:rFonts w:ascii="Arial" w:eastAsia="Times New Roman" w:hAnsi="Arial" w:cs="Arial"/>
          <w:color w:val="222222"/>
          <w:sz w:val="18"/>
          <w:szCs w:val="18"/>
          <w:lang w:eastAsia="es-AR"/>
        </w:rPr>
        <w:t xml:space="preserve"> del paciente. Conduce a un progresivo deterioro global, personal y social (GPC Demencias SNS, 2010).</w:t>
      </w:r>
      <w:r w:rsidRPr="00AD0488">
        <w:rPr>
          <w:rFonts w:ascii="Arial" w:eastAsia="Times New Roman" w:hAnsi="Arial" w:cs="Arial"/>
          <w:color w:val="222222"/>
          <w:sz w:val="18"/>
          <w:szCs w:val="18"/>
          <w:lang w:eastAsia="es-AR"/>
        </w:rPr>
        <w:br/>
      </w:r>
      <w:r w:rsidRPr="00AD0488">
        <w:rPr>
          <w:rFonts w:ascii="Arial" w:eastAsia="Times New Roman" w:hAnsi="Arial" w:cs="Arial"/>
          <w:color w:val="222222"/>
          <w:sz w:val="18"/>
          <w:szCs w:val="18"/>
          <w:lang w:eastAsia="es-AR"/>
        </w:rPr>
        <w:br/>
        <w:t>Dado el paulatino envejecimiento de la población en los países occidentales según los datos demográficos, la demencia implica un gran reto para sus sistemas de salud (GPC Demencias SNS, 2010). La demencia afecta tanto a los pacientes como a sus entornos familiares y sociales.</w:t>
      </w:r>
      <w:r w:rsidRPr="00AD0488">
        <w:rPr>
          <w:rFonts w:ascii="Arial" w:eastAsia="Times New Roman" w:hAnsi="Arial" w:cs="Arial"/>
          <w:color w:val="222222"/>
          <w:sz w:val="18"/>
          <w:szCs w:val="18"/>
          <w:lang w:eastAsia="es-AR"/>
        </w:rPr>
        <w:br/>
      </w:r>
      <w:r w:rsidRPr="00AD0488">
        <w:rPr>
          <w:rFonts w:ascii="Arial" w:eastAsia="Times New Roman" w:hAnsi="Arial" w:cs="Arial"/>
          <w:color w:val="222222"/>
          <w:sz w:val="18"/>
          <w:szCs w:val="18"/>
          <w:lang w:eastAsia="es-AR"/>
        </w:rPr>
        <w:br/>
        <w:t>La demencia tipo Alzheimer (DTA) es el tipo más frecuente de demencia (70% de las demencias) y tiene una prevalencia aproximada del 6% en personas de más de 70 años en nuestro país (GPC Demencias SNS, 2010). En España debe haber alrededor de medio millón de personas que sufren este proceso.</w:t>
      </w:r>
      <w:r w:rsidRPr="00AD0488">
        <w:rPr>
          <w:rFonts w:ascii="Arial" w:eastAsia="Times New Roman" w:hAnsi="Arial" w:cs="Arial"/>
          <w:color w:val="222222"/>
          <w:sz w:val="18"/>
          <w:szCs w:val="18"/>
          <w:lang w:eastAsia="es-AR"/>
        </w:rPr>
        <w:br/>
        <w:t> </w:t>
      </w:r>
      <w:r w:rsidRPr="00AD0488">
        <w:rPr>
          <w:rFonts w:ascii="Arial" w:eastAsia="Times New Roman" w:hAnsi="Arial" w:cs="Arial"/>
          <w:color w:val="222222"/>
          <w:sz w:val="18"/>
          <w:szCs w:val="18"/>
          <w:lang w:eastAsia="es-AR"/>
        </w:rPr>
        <w:br/>
        <w:t>La edad es el principal factor de riesgo indiscutible. Otros factores de riesgo de DTA son (Williams JW, 2010):</w:t>
      </w:r>
      <w:r w:rsidRPr="00AD0488">
        <w:rPr>
          <w:rFonts w:ascii="Arial" w:eastAsia="Times New Roman" w:hAnsi="Arial" w:cs="Arial"/>
          <w:color w:val="222222"/>
          <w:sz w:val="18"/>
          <w:szCs w:val="18"/>
          <w:lang w:eastAsia="es-AR"/>
        </w:rPr>
        <w:br/>
      </w:r>
      <w:r w:rsidRPr="00AD0488">
        <w:rPr>
          <w:rFonts w:ascii="Arial" w:eastAsia="Times New Roman" w:hAnsi="Arial" w:cs="Arial"/>
          <w:color w:val="222222"/>
          <w:sz w:val="18"/>
          <w:szCs w:val="18"/>
          <w:lang w:eastAsia="es-AR"/>
        </w:rPr>
        <w:br/>
      </w:r>
    </w:p>
    <w:p w:rsidR="00AD0488" w:rsidRPr="00AD0488" w:rsidRDefault="00AD0488" w:rsidP="00AD0488">
      <w:pPr>
        <w:numPr>
          <w:ilvl w:val="0"/>
          <w:numId w:val="26"/>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Genotipo APOE-e4.</w:t>
      </w:r>
    </w:p>
    <w:p w:rsidR="00AD0488" w:rsidRPr="00AD0488" w:rsidRDefault="00AD0488" w:rsidP="00AD0488">
      <w:pPr>
        <w:numPr>
          <w:ilvl w:val="0"/>
          <w:numId w:val="26"/>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 xml:space="preserve">Empleo de estrógenos equinos en combinación con </w:t>
      </w:r>
      <w:proofErr w:type="spellStart"/>
      <w:r w:rsidRPr="00AD0488">
        <w:rPr>
          <w:rFonts w:ascii="Arial" w:eastAsia="Times New Roman" w:hAnsi="Arial" w:cs="Arial"/>
          <w:color w:val="222222"/>
          <w:sz w:val="18"/>
          <w:szCs w:val="18"/>
          <w:lang w:eastAsia="es-AR"/>
        </w:rPr>
        <w:t>metilprogesterona</w:t>
      </w:r>
      <w:proofErr w:type="spellEnd"/>
      <w:r w:rsidRPr="00AD0488">
        <w:rPr>
          <w:rFonts w:ascii="Arial" w:eastAsia="Times New Roman" w:hAnsi="Arial" w:cs="Arial"/>
          <w:color w:val="222222"/>
          <w:sz w:val="18"/>
          <w:szCs w:val="18"/>
          <w:lang w:eastAsia="es-AR"/>
        </w:rPr>
        <w:t>.</w:t>
      </w:r>
    </w:p>
    <w:p w:rsidR="00AD0488" w:rsidRPr="00AD0488" w:rsidRDefault="00AD0488" w:rsidP="00AD0488">
      <w:pPr>
        <w:numPr>
          <w:ilvl w:val="0"/>
          <w:numId w:val="26"/>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Algunos antiinflamatorios no esteroideos.</w:t>
      </w:r>
    </w:p>
    <w:p w:rsidR="00AD0488" w:rsidRPr="00AD0488" w:rsidRDefault="00AD0488" w:rsidP="00AD0488">
      <w:pPr>
        <w:numPr>
          <w:ilvl w:val="0"/>
          <w:numId w:val="26"/>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Trastorno depresivo.</w:t>
      </w:r>
    </w:p>
    <w:p w:rsidR="00AD0488" w:rsidRPr="00AD0488" w:rsidRDefault="00AD0488" w:rsidP="00AD0488">
      <w:pPr>
        <w:numPr>
          <w:ilvl w:val="0"/>
          <w:numId w:val="26"/>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Diabetes mellitus.</w:t>
      </w:r>
    </w:p>
    <w:p w:rsidR="00AD0488" w:rsidRPr="00AD0488" w:rsidRDefault="00AD0488" w:rsidP="00AD0488">
      <w:pPr>
        <w:numPr>
          <w:ilvl w:val="0"/>
          <w:numId w:val="26"/>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AD0488">
        <w:rPr>
          <w:rFonts w:ascii="Arial" w:eastAsia="Times New Roman" w:hAnsi="Arial" w:cs="Arial"/>
          <w:color w:val="222222"/>
          <w:sz w:val="18"/>
          <w:szCs w:val="18"/>
          <w:lang w:eastAsia="es-AR"/>
        </w:rPr>
        <w:t>Hiperlipemia</w:t>
      </w:r>
      <w:proofErr w:type="spellEnd"/>
      <w:r w:rsidRPr="00AD0488">
        <w:rPr>
          <w:rFonts w:ascii="Arial" w:eastAsia="Times New Roman" w:hAnsi="Arial" w:cs="Arial"/>
          <w:color w:val="222222"/>
          <w:sz w:val="18"/>
          <w:szCs w:val="18"/>
          <w:lang w:eastAsia="es-AR"/>
        </w:rPr>
        <w:t xml:space="preserve"> del adulto.</w:t>
      </w:r>
    </w:p>
    <w:p w:rsidR="00AD0488" w:rsidRPr="00AD0488" w:rsidRDefault="00AD0488" w:rsidP="00AD0488">
      <w:pPr>
        <w:numPr>
          <w:ilvl w:val="0"/>
          <w:numId w:val="26"/>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Daño cerebral traumático en varones.</w:t>
      </w:r>
    </w:p>
    <w:p w:rsidR="00AD0488" w:rsidRPr="00AD0488" w:rsidRDefault="00AD0488" w:rsidP="00AD0488">
      <w:pPr>
        <w:numPr>
          <w:ilvl w:val="0"/>
          <w:numId w:val="26"/>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Exposición a pesticidas.</w:t>
      </w:r>
    </w:p>
    <w:p w:rsidR="00AD0488" w:rsidRPr="00AD0488" w:rsidRDefault="00AD0488" w:rsidP="00AD0488">
      <w:pPr>
        <w:numPr>
          <w:ilvl w:val="0"/>
          <w:numId w:val="26"/>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Personas que nunca han estado casadas, con bajo soporte social.</w:t>
      </w:r>
    </w:p>
    <w:p w:rsidR="00AD0488" w:rsidRPr="00AD0488" w:rsidRDefault="00AD0488" w:rsidP="00AD0488">
      <w:pPr>
        <w:numPr>
          <w:ilvl w:val="0"/>
          <w:numId w:val="26"/>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Tabaquismo activo.</w:t>
      </w:r>
    </w:p>
    <w:p w:rsidR="00AD0488" w:rsidRPr="00AD0488" w:rsidRDefault="00AD0488" w:rsidP="00AD0488">
      <w:pPr>
        <w:shd w:val="clear" w:color="auto" w:fill="FFFFFF"/>
        <w:spacing w:after="0" w:line="255" w:lineRule="atLeast"/>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br/>
        <w:t>Entre los actuales factores de protección-prevención de la DTA tenemos (Williams JW, 2010):</w:t>
      </w:r>
      <w:r w:rsidRPr="00AD0488">
        <w:rPr>
          <w:rFonts w:ascii="Arial" w:eastAsia="Times New Roman" w:hAnsi="Arial" w:cs="Arial"/>
          <w:color w:val="222222"/>
          <w:sz w:val="18"/>
          <w:szCs w:val="18"/>
          <w:lang w:eastAsia="es-AR"/>
        </w:rPr>
        <w:br/>
      </w:r>
      <w:r w:rsidRPr="00AD0488">
        <w:rPr>
          <w:rFonts w:ascii="Arial" w:eastAsia="Times New Roman" w:hAnsi="Arial" w:cs="Arial"/>
          <w:color w:val="222222"/>
          <w:sz w:val="18"/>
          <w:szCs w:val="18"/>
          <w:lang w:eastAsia="es-AR"/>
        </w:rPr>
        <w:br/>
      </w:r>
    </w:p>
    <w:p w:rsidR="00AD0488" w:rsidRPr="00AD0488" w:rsidRDefault="00AD0488" w:rsidP="00AD0488">
      <w:pPr>
        <w:numPr>
          <w:ilvl w:val="0"/>
          <w:numId w:val="27"/>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Dieta mediterránea.</w:t>
      </w:r>
    </w:p>
    <w:p w:rsidR="00AD0488" w:rsidRPr="00AD0488" w:rsidRDefault="00AD0488" w:rsidP="00AD0488">
      <w:pPr>
        <w:numPr>
          <w:ilvl w:val="0"/>
          <w:numId w:val="27"/>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AD0488">
        <w:rPr>
          <w:rFonts w:ascii="Arial" w:eastAsia="Times New Roman" w:hAnsi="Arial" w:cs="Arial"/>
          <w:color w:val="222222"/>
          <w:sz w:val="18"/>
          <w:szCs w:val="18"/>
          <w:lang w:eastAsia="es-AR"/>
        </w:rPr>
        <w:t>Acido</w:t>
      </w:r>
      <w:proofErr w:type="spellEnd"/>
      <w:r w:rsidRPr="00AD0488">
        <w:rPr>
          <w:rFonts w:ascii="Arial" w:eastAsia="Times New Roman" w:hAnsi="Arial" w:cs="Arial"/>
          <w:color w:val="222222"/>
          <w:sz w:val="18"/>
          <w:szCs w:val="18"/>
          <w:lang w:eastAsia="es-AR"/>
        </w:rPr>
        <w:t xml:space="preserve"> fólico.</w:t>
      </w:r>
    </w:p>
    <w:p w:rsidR="00AD0488" w:rsidRPr="00AD0488" w:rsidRDefault="00AD0488" w:rsidP="00AD0488">
      <w:pPr>
        <w:numPr>
          <w:ilvl w:val="0"/>
          <w:numId w:val="27"/>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AD0488">
        <w:rPr>
          <w:rFonts w:ascii="Arial" w:eastAsia="Times New Roman" w:hAnsi="Arial" w:cs="Arial"/>
          <w:color w:val="222222"/>
          <w:sz w:val="18"/>
          <w:szCs w:val="18"/>
          <w:lang w:eastAsia="es-AR"/>
        </w:rPr>
        <w:lastRenderedPageBreak/>
        <w:t>Estatinas</w:t>
      </w:r>
      <w:proofErr w:type="spellEnd"/>
      <w:r w:rsidRPr="00AD0488">
        <w:rPr>
          <w:rFonts w:ascii="Arial" w:eastAsia="Times New Roman" w:hAnsi="Arial" w:cs="Arial"/>
          <w:color w:val="222222"/>
          <w:sz w:val="18"/>
          <w:szCs w:val="18"/>
          <w:lang w:eastAsia="es-AR"/>
        </w:rPr>
        <w:t>.</w:t>
      </w:r>
    </w:p>
    <w:p w:rsidR="00AD0488" w:rsidRPr="00AD0488" w:rsidRDefault="00AD0488" w:rsidP="00AD0488">
      <w:pPr>
        <w:numPr>
          <w:ilvl w:val="0"/>
          <w:numId w:val="27"/>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Niveles educativos elevados.</w:t>
      </w:r>
    </w:p>
    <w:p w:rsidR="00AD0488" w:rsidRPr="00AD0488" w:rsidRDefault="00AD0488" w:rsidP="00AD0488">
      <w:pPr>
        <w:numPr>
          <w:ilvl w:val="0"/>
          <w:numId w:val="27"/>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Ingesta de alcohol (de leve a moderada).</w:t>
      </w:r>
    </w:p>
    <w:p w:rsidR="00AD0488" w:rsidRPr="00AD0488" w:rsidRDefault="00AD0488" w:rsidP="00AD0488">
      <w:pPr>
        <w:numPr>
          <w:ilvl w:val="0"/>
          <w:numId w:val="27"/>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Mantenerse intelectualmente productivo.</w:t>
      </w:r>
    </w:p>
    <w:p w:rsidR="00AD0488" w:rsidRPr="00AD0488" w:rsidRDefault="00AD0488" w:rsidP="00AD0488">
      <w:pPr>
        <w:numPr>
          <w:ilvl w:val="0"/>
          <w:numId w:val="27"/>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Ejercicio físico (de moderado a intenso).</w:t>
      </w:r>
    </w:p>
    <w:p w:rsidR="00AD0488" w:rsidRPr="00AD0488" w:rsidRDefault="00AD0488" w:rsidP="00AD0488">
      <w:pPr>
        <w:shd w:val="clear" w:color="auto" w:fill="FFFFFF"/>
        <w:spacing w:after="0" w:line="255" w:lineRule="atLeast"/>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br/>
        <w:t>Los raros casos familiares de DTA de inicio presenil (&lt;60 años) están ligados a alteraciones en los genes APP, PS1 y PS2 (GPC Demencias SNS, 2010).</w:t>
      </w:r>
    </w:p>
    <w:p w:rsidR="00AD0488" w:rsidRPr="00AD0488" w:rsidRDefault="00FB5C3E" w:rsidP="00AD0488">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24" w:anchor="top" w:tgtFrame="_blank" w:history="1">
        <w:r w:rsidR="00AD0488" w:rsidRPr="00AD0488">
          <w:rPr>
            <w:rFonts w:ascii="Arial" w:eastAsia="Times New Roman" w:hAnsi="Arial" w:cs="Arial"/>
            <w:b/>
            <w:bCs/>
            <w:color w:val="008888"/>
            <w:sz w:val="18"/>
            <w:szCs w:val="18"/>
            <w:u w:val="single"/>
            <w:bdr w:val="none" w:sz="0" w:space="0" w:color="auto" w:frame="1"/>
            <w:lang w:eastAsia="es-AR"/>
          </w:rPr>
          <w:t>subir</w:t>
        </w:r>
      </w:hyperlink>
    </w:p>
    <w:p w:rsidR="00AD0488" w:rsidRPr="00AD0488" w:rsidRDefault="00AD0488" w:rsidP="00AD0488">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2" w:name="x_2271"/>
      <w:bookmarkEnd w:id="2"/>
      <w:r w:rsidRPr="00AD0488">
        <w:rPr>
          <w:rFonts w:ascii="Arial" w:eastAsia="Times New Roman" w:hAnsi="Arial" w:cs="Arial"/>
          <w:b/>
          <w:bCs/>
          <w:color w:val="008888"/>
          <w:sz w:val="21"/>
          <w:szCs w:val="21"/>
          <w:lang w:eastAsia="es-AR"/>
        </w:rPr>
        <w:t>¿Cuáles son las características clínicas de la DTA?</w:t>
      </w:r>
    </w:p>
    <w:p w:rsidR="00AD0488" w:rsidRPr="00AD0488" w:rsidRDefault="00AD0488" w:rsidP="00AD0488">
      <w:pPr>
        <w:shd w:val="clear" w:color="auto" w:fill="FFFFFF"/>
        <w:spacing w:after="0" w:line="255" w:lineRule="atLeast"/>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br/>
        <w:t>La fase inicial de la enfermedad puede durar unos dos años y en ella suelen aparecer fallos en la memoria reciente, desinterés, humor deprimido, cambios en la personalidad, episodios leves de desorientación y falta de adaptación a situaciones nuevas (GPC Demencias SNS, 2010). En esta fase es difícil diagnosticar la DTA.</w:t>
      </w:r>
      <w:r w:rsidRPr="00AD0488">
        <w:rPr>
          <w:rFonts w:ascii="Arial" w:eastAsia="Times New Roman" w:hAnsi="Arial" w:cs="Arial"/>
          <w:color w:val="222222"/>
          <w:sz w:val="18"/>
          <w:szCs w:val="18"/>
          <w:lang w:eastAsia="es-AR"/>
        </w:rPr>
        <w:br/>
      </w:r>
      <w:r w:rsidRPr="00AD0488">
        <w:rPr>
          <w:rFonts w:ascii="Arial" w:eastAsia="Times New Roman" w:hAnsi="Arial" w:cs="Arial"/>
          <w:color w:val="222222"/>
          <w:sz w:val="18"/>
          <w:szCs w:val="18"/>
          <w:lang w:eastAsia="es-AR"/>
        </w:rPr>
        <w:br/>
        <w:t>La fase intermedia puede desarrollarse durante 3-5 años. El detrimento de la memoria es más comprometido y afecta no solo a la memoria reciente sino también a la remota. Emergen alteraciones del lenguaje, la escritura, la lectura, el cálculo, apraxias y agnosias (GPC Demencias SNS, 2010). Muestra dificultad con el aseo, el vestir o la comida. Pueden aparecer síntomas psicóticos. En esta fase el paciente tiene dificultad para mantener sus relaciones sociales y es incapaz de mantener una discusión coherente sobre un problema.</w:t>
      </w:r>
      <w:r w:rsidRPr="00AD0488">
        <w:rPr>
          <w:rFonts w:ascii="Arial" w:eastAsia="Times New Roman" w:hAnsi="Arial" w:cs="Arial"/>
          <w:color w:val="222222"/>
          <w:sz w:val="18"/>
          <w:szCs w:val="18"/>
          <w:lang w:eastAsia="es-AR"/>
        </w:rPr>
        <w:br/>
      </w:r>
      <w:r w:rsidRPr="00AD0488">
        <w:rPr>
          <w:rFonts w:ascii="Arial" w:eastAsia="Times New Roman" w:hAnsi="Arial" w:cs="Arial"/>
          <w:color w:val="222222"/>
          <w:sz w:val="18"/>
          <w:szCs w:val="18"/>
          <w:lang w:eastAsia="es-AR"/>
        </w:rPr>
        <w:br/>
        <w:t>En la fase terminal (demencia grave) el enfermo es incapaz de andar, se inmoviliza, se hace incontinente y no puede ejecutar ninguna actividad de la vida diaria. El lenguaje se hace ininteligible o presenta mutismo. A veces se produce disfagia y hay riesgos de neumonías, deshidratación, malnutrición y úlceras por presión. Los enfermos pueden permanecer en cama y suelen fallecer de una neumonía u otra infección/complicación intercurrente. La evolución de la enfermedad es variable, aunque no suele prolongarse más de 15 años (GPC Demencias SNS, 2010).</w:t>
      </w:r>
      <w:r w:rsidRPr="00AD0488">
        <w:rPr>
          <w:rFonts w:ascii="Arial" w:eastAsia="Times New Roman" w:hAnsi="Arial" w:cs="Arial"/>
          <w:color w:val="222222"/>
          <w:sz w:val="18"/>
          <w:szCs w:val="18"/>
          <w:lang w:eastAsia="es-AR"/>
        </w:rPr>
        <w:br/>
      </w:r>
      <w:r w:rsidRPr="00AD0488">
        <w:rPr>
          <w:rFonts w:ascii="Arial" w:eastAsia="Times New Roman" w:hAnsi="Arial" w:cs="Arial"/>
          <w:color w:val="222222"/>
          <w:sz w:val="18"/>
          <w:szCs w:val="18"/>
          <w:lang w:eastAsia="es-AR"/>
        </w:rPr>
        <w:br/>
        <w:t>Las exploraciones física y neurológica son normales a excepción de los hallazgos relacionados con las funciones corticales superiores. El test mini-mental o </w:t>
      </w:r>
      <w:r w:rsidRPr="00AD0488">
        <w:rPr>
          <w:rFonts w:ascii="Arial" w:eastAsia="Times New Roman" w:hAnsi="Arial" w:cs="Arial"/>
          <w:i/>
          <w:iCs/>
          <w:color w:val="222222"/>
          <w:sz w:val="18"/>
          <w:szCs w:val="18"/>
          <w:bdr w:val="none" w:sz="0" w:space="0" w:color="auto" w:frame="1"/>
          <w:lang w:eastAsia="es-AR"/>
        </w:rPr>
        <w:t xml:space="preserve">Mini-Mental </w:t>
      </w:r>
      <w:proofErr w:type="spellStart"/>
      <w:r w:rsidRPr="00AD0488">
        <w:rPr>
          <w:rFonts w:ascii="Arial" w:eastAsia="Times New Roman" w:hAnsi="Arial" w:cs="Arial"/>
          <w:i/>
          <w:iCs/>
          <w:color w:val="222222"/>
          <w:sz w:val="18"/>
          <w:szCs w:val="18"/>
          <w:bdr w:val="none" w:sz="0" w:space="0" w:color="auto" w:frame="1"/>
          <w:lang w:eastAsia="es-AR"/>
        </w:rPr>
        <w:t>State</w:t>
      </w:r>
      <w:proofErr w:type="spellEnd"/>
      <w:r w:rsidRPr="00AD0488">
        <w:rPr>
          <w:rFonts w:ascii="Arial" w:eastAsia="Times New Roman" w:hAnsi="Arial" w:cs="Arial"/>
          <w:i/>
          <w:iCs/>
          <w:color w:val="222222"/>
          <w:sz w:val="18"/>
          <w:szCs w:val="18"/>
          <w:bdr w:val="none" w:sz="0" w:space="0" w:color="auto" w:frame="1"/>
          <w:lang w:eastAsia="es-AR"/>
        </w:rPr>
        <w:t xml:space="preserve"> </w:t>
      </w:r>
      <w:proofErr w:type="spellStart"/>
      <w:r w:rsidRPr="00AD0488">
        <w:rPr>
          <w:rFonts w:ascii="Arial" w:eastAsia="Times New Roman" w:hAnsi="Arial" w:cs="Arial"/>
          <w:i/>
          <w:iCs/>
          <w:color w:val="222222"/>
          <w:sz w:val="18"/>
          <w:szCs w:val="18"/>
          <w:bdr w:val="none" w:sz="0" w:space="0" w:color="auto" w:frame="1"/>
          <w:lang w:eastAsia="es-AR"/>
        </w:rPr>
        <w:t>Examination</w:t>
      </w:r>
      <w:proofErr w:type="spellEnd"/>
      <w:r w:rsidRPr="00AD0488">
        <w:rPr>
          <w:rFonts w:ascii="Arial" w:eastAsia="Times New Roman" w:hAnsi="Arial" w:cs="Arial"/>
          <w:color w:val="222222"/>
          <w:sz w:val="18"/>
          <w:szCs w:val="18"/>
          <w:lang w:eastAsia="es-AR"/>
        </w:rPr>
        <w:t> (MMSE) es un test rápido, de fácil interpretación y validado en español (en España se utiliza ampliamente su versión normalizada, el Mini Examen Cognoscitivo -MEC-); con el que se evalúan aspectos de la esfera cognitiva como memoria, orientación, lenguaje, habilidades o atención (</w:t>
      </w:r>
      <w:proofErr w:type="spellStart"/>
      <w:r w:rsidRPr="00AD0488">
        <w:rPr>
          <w:rFonts w:ascii="Arial" w:eastAsia="Times New Roman" w:hAnsi="Arial" w:cs="Arial"/>
          <w:color w:val="222222"/>
          <w:sz w:val="18"/>
          <w:szCs w:val="18"/>
          <w:lang w:eastAsia="es-AR"/>
        </w:rPr>
        <w:t>Folstein</w:t>
      </w:r>
      <w:proofErr w:type="spellEnd"/>
      <w:r w:rsidRPr="00AD0488">
        <w:rPr>
          <w:rFonts w:ascii="Arial" w:eastAsia="Times New Roman" w:hAnsi="Arial" w:cs="Arial"/>
          <w:color w:val="222222"/>
          <w:sz w:val="18"/>
          <w:szCs w:val="18"/>
          <w:lang w:eastAsia="es-AR"/>
        </w:rPr>
        <w:t xml:space="preserve"> MF, 1975). Para su realización y valoración se requieren unos 10 minutos. La puntuación máxima del MMSE es 30. Una puntuación entre 25 y 30 es considerada normal. Una puntuación de 24 </w:t>
      </w:r>
      <w:proofErr w:type="spellStart"/>
      <w:r w:rsidRPr="00AD0488">
        <w:rPr>
          <w:rFonts w:ascii="Arial" w:eastAsia="Times New Roman" w:hAnsi="Arial" w:cs="Arial"/>
          <w:color w:val="222222"/>
          <w:sz w:val="18"/>
          <w:szCs w:val="18"/>
          <w:lang w:eastAsia="es-AR"/>
        </w:rPr>
        <w:t>ó</w:t>
      </w:r>
      <w:proofErr w:type="spellEnd"/>
      <w:r w:rsidRPr="00AD0488">
        <w:rPr>
          <w:rFonts w:ascii="Arial" w:eastAsia="Times New Roman" w:hAnsi="Arial" w:cs="Arial"/>
          <w:color w:val="222222"/>
          <w:sz w:val="18"/>
          <w:szCs w:val="18"/>
          <w:lang w:eastAsia="es-AR"/>
        </w:rPr>
        <w:t xml:space="preserve"> menos sugiere deterioro cognitivo. El deterioro va progresando con el paso del tiempo (pérdidas anuales de puntos).</w:t>
      </w:r>
    </w:p>
    <w:p w:rsidR="00AD0488" w:rsidRPr="00AD0488" w:rsidRDefault="00FB5C3E" w:rsidP="00AD0488">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25" w:anchor="top" w:tgtFrame="_blank" w:history="1">
        <w:r w:rsidR="00AD0488" w:rsidRPr="00AD0488">
          <w:rPr>
            <w:rFonts w:ascii="Arial" w:eastAsia="Times New Roman" w:hAnsi="Arial" w:cs="Arial"/>
            <w:b/>
            <w:bCs/>
            <w:color w:val="008888"/>
            <w:sz w:val="18"/>
            <w:szCs w:val="18"/>
            <w:u w:val="single"/>
            <w:bdr w:val="none" w:sz="0" w:space="0" w:color="auto" w:frame="1"/>
            <w:lang w:eastAsia="es-AR"/>
          </w:rPr>
          <w:t>subir</w:t>
        </w:r>
      </w:hyperlink>
    </w:p>
    <w:p w:rsidR="00AD0488" w:rsidRPr="00AD0488" w:rsidRDefault="00AD0488" w:rsidP="00AD0488">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3" w:name="x_1658"/>
      <w:bookmarkEnd w:id="3"/>
      <w:r w:rsidRPr="00AD0488">
        <w:rPr>
          <w:rFonts w:ascii="Arial" w:eastAsia="Times New Roman" w:hAnsi="Arial" w:cs="Arial"/>
          <w:b/>
          <w:bCs/>
          <w:color w:val="008888"/>
          <w:sz w:val="21"/>
          <w:szCs w:val="21"/>
          <w:lang w:eastAsia="es-AR"/>
        </w:rPr>
        <w:t>¿Cómo se diagnostica la DTA?</w:t>
      </w:r>
    </w:p>
    <w:p w:rsidR="00AD0488" w:rsidRPr="00AD0488" w:rsidRDefault="00AD0488" w:rsidP="00AD0488">
      <w:pPr>
        <w:shd w:val="clear" w:color="auto" w:fill="FFFFFF"/>
        <w:spacing w:after="0" w:line="255" w:lineRule="atLeast"/>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br/>
        <w:t xml:space="preserve">El </w:t>
      </w:r>
      <w:proofErr w:type="spellStart"/>
      <w:r w:rsidRPr="00AD0488">
        <w:rPr>
          <w:rFonts w:ascii="Arial" w:eastAsia="Times New Roman" w:hAnsi="Arial" w:cs="Arial"/>
          <w:color w:val="222222"/>
          <w:sz w:val="18"/>
          <w:szCs w:val="18"/>
          <w:lang w:eastAsia="es-AR"/>
        </w:rPr>
        <w:t>screening</w:t>
      </w:r>
      <w:proofErr w:type="spellEnd"/>
      <w:r w:rsidRPr="00AD0488">
        <w:rPr>
          <w:rFonts w:ascii="Arial" w:eastAsia="Times New Roman" w:hAnsi="Arial" w:cs="Arial"/>
          <w:color w:val="222222"/>
          <w:sz w:val="18"/>
          <w:szCs w:val="18"/>
          <w:lang w:eastAsia="es-AR"/>
        </w:rPr>
        <w:t xml:space="preserve"> de la población general no está indicado. Además de la exploración del propio paciente, se debe obtener información de un acompañante fiable (GPC Demencias SNS, 2010). Para el diagnóstico pueden utilizarse los criterios DSM-IV-TR, que para el diagnóstico de DTA son los siguientes: </w:t>
      </w:r>
      <w:r w:rsidRPr="00AD0488">
        <w:rPr>
          <w:rFonts w:ascii="Arial" w:eastAsia="Times New Roman" w:hAnsi="Arial" w:cs="Arial"/>
          <w:color w:val="222222"/>
          <w:sz w:val="18"/>
          <w:szCs w:val="18"/>
          <w:lang w:eastAsia="es-AR"/>
        </w:rPr>
        <w:br/>
      </w:r>
      <w:r w:rsidRPr="00AD0488">
        <w:rPr>
          <w:rFonts w:ascii="Arial" w:eastAsia="Times New Roman" w:hAnsi="Arial" w:cs="Arial"/>
          <w:color w:val="222222"/>
          <w:sz w:val="18"/>
          <w:szCs w:val="18"/>
          <w:lang w:eastAsia="es-AR"/>
        </w:rPr>
        <w:br/>
        <w:t>A. La presencia de los múltiples déficit cognoscitivos se manifiesta por:</w:t>
      </w:r>
      <w:r w:rsidRPr="00AD0488">
        <w:rPr>
          <w:rFonts w:ascii="Arial" w:eastAsia="Times New Roman" w:hAnsi="Arial" w:cs="Arial"/>
          <w:color w:val="222222"/>
          <w:sz w:val="18"/>
          <w:szCs w:val="18"/>
          <w:lang w:eastAsia="es-AR"/>
        </w:rPr>
        <w:br/>
      </w:r>
      <w:r w:rsidRPr="00AD0488">
        <w:rPr>
          <w:rFonts w:ascii="Arial" w:eastAsia="Times New Roman" w:hAnsi="Arial" w:cs="Arial"/>
          <w:color w:val="222222"/>
          <w:sz w:val="18"/>
          <w:szCs w:val="18"/>
          <w:lang w:eastAsia="es-AR"/>
        </w:rPr>
        <w:br/>
      </w:r>
    </w:p>
    <w:p w:rsidR="00AD0488" w:rsidRPr="00AD0488" w:rsidRDefault="00AD0488" w:rsidP="00AD0488">
      <w:pPr>
        <w:numPr>
          <w:ilvl w:val="0"/>
          <w:numId w:val="28"/>
        </w:numPr>
        <w:shd w:val="clear" w:color="auto" w:fill="FFFFFF"/>
        <w:spacing w:after="0" w:line="255" w:lineRule="atLeast"/>
        <w:ind w:left="900" w:right="30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Deterioro de la memoria (capacidad de aprender nueva información o recordar información aprendida previamente).</w:t>
      </w:r>
    </w:p>
    <w:p w:rsidR="00AD0488" w:rsidRPr="00AD0488" w:rsidRDefault="00AD0488" w:rsidP="00AD0488">
      <w:pPr>
        <w:numPr>
          <w:ilvl w:val="0"/>
          <w:numId w:val="28"/>
        </w:numPr>
        <w:shd w:val="clear" w:color="auto" w:fill="FFFFFF"/>
        <w:spacing w:after="0" w:line="255" w:lineRule="atLeast"/>
        <w:ind w:left="900" w:right="30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lastRenderedPageBreak/>
        <w:t>Una (o más) de las siguientes alteraciones cognoscitivas:</w:t>
      </w:r>
      <w:r w:rsidRPr="00AD0488">
        <w:rPr>
          <w:rFonts w:ascii="Arial" w:eastAsia="Times New Roman" w:hAnsi="Arial" w:cs="Arial"/>
          <w:color w:val="222222"/>
          <w:sz w:val="18"/>
          <w:szCs w:val="18"/>
          <w:lang w:eastAsia="es-AR"/>
        </w:rPr>
        <w:br/>
      </w:r>
      <w:r w:rsidRPr="00AD0488">
        <w:rPr>
          <w:rFonts w:ascii="Arial" w:eastAsia="Times New Roman" w:hAnsi="Arial" w:cs="Arial"/>
          <w:color w:val="222222"/>
          <w:sz w:val="18"/>
          <w:szCs w:val="18"/>
          <w:lang w:eastAsia="es-AR"/>
        </w:rPr>
        <w:br/>
      </w:r>
    </w:p>
    <w:p w:rsidR="00AD0488" w:rsidRPr="00AD0488" w:rsidRDefault="00AD0488" w:rsidP="00AD0488">
      <w:pPr>
        <w:shd w:val="clear" w:color="auto" w:fill="FFFFFF"/>
        <w:spacing w:after="0" w:line="255" w:lineRule="atLeast"/>
        <w:ind w:left="900" w:right="30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a. Afasia (alteración de la capacidad para comprender, nombrar, leer o escribir).</w:t>
      </w:r>
    </w:p>
    <w:p w:rsidR="00AD0488" w:rsidRPr="00AD0488" w:rsidRDefault="00AD0488" w:rsidP="00AD0488">
      <w:pPr>
        <w:shd w:val="clear" w:color="auto" w:fill="FFFFFF"/>
        <w:spacing w:after="0" w:line="255" w:lineRule="atLeast"/>
        <w:ind w:left="900" w:right="30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b. Apraxia (deterioro de la capacidad para llevar a cabo actividades motoras, a pesar de que la función motora está intacta).</w:t>
      </w:r>
    </w:p>
    <w:p w:rsidR="00AD0488" w:rsidRPr="00AD0488" w:rsidRDefault="00AD0488" w:rsidP="00AD0488">
      <w:pPr>
        <w:shd w:val="clear" w:color="auto" w:fill="FFFFFF"/>
        <w:spacing w:after="0" w:line="255" w:lineRule="atLeast"/>
        <w:ind w:left="900" w:right="30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c. Agnosia (fallo en el reconocimiento o identificación de objetos, a pesar de que la función sensorial está intacta).</w:t>
      </w:r>
    </w:p>
    <w:p w:rsidR="00AD0488" w:rsidRPr="00AD0488" w:rsidRDefault="00AD0488" w:rsidP="00AD0488">
      <w:pPr>
        <w:shd w:val="clear" w:color="auto" w:fill="FFFFFF"/>
        <w:spacing w:after="0" w:line="255" w:lineRule="atLeast"/>
        <w:ind w:left="900" w:right="30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d. Alteración de la ejecución (por ejemplo: planificación, organización, secuenciación y abstracción).</w:t>
      </w:r>
    </w:p>
    <w:p w:rsidR="00AD0488" w:rsidRPr="00AD0488" w:rsidRDefault="00AD0488" w:rsidP="00AD0488">
      <w:pPr>
        <w:shd w:val="clear" w:color="auto" w:fill="FFFFFF"/>
        <w:spacing w:after="0" w:line="255" w:lineRule="atLeast"/>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B. Los déficit cognoscitivos en cada uno de los criterios A1 y A2 provocan un deterioro significativo de la actividad laboral o social y representan una merma importante del nivel previo de actividad.</w:t>
      </w:r>
      <w:r w:rsidRPr="00AD0488">
        <w:rPr>
          <w:rFonts w:ascii="Arial" w:eastAsia="Times New Roman" w:hAnsi="Arial" w:cs="Arial"/>
          <w:color w:val="222222"/>
          <w:sz w:val="18"/>
          <w:szCs w:val="18"/>
          <w:lang w:eastAsia="es-AR"/>
        </w:rPr>
        <w:br/>
        <w:t>C. El curso se caracteriza por un inicio gradual y un deterioro cognoscitivo continuo.</w:t>
      </w:r>
      <w:r w:rsidRPr="00AD0488">
        <w:rPr>
          <w:rFonts w:ascii="Arial" w:eastAsia="Times New Roman" w:hAnsi="Arial" w:cs="Arial"/>
          <w:color w:val="222222"/>
          <w:sz w:val="18"/>
          <w:szCs w:val="18"/>
          <w:lang w:eastAsia="es-AR"/>
        </w:rPr>
        <w:br/>
        <w:t>D. Los déficit cognoscitivos de los criterios A1 y A2 no se deben a ninguno de los siguientes factores:</w:t>
      </w:r>
      <w:r w:rsidRPr="00AD0488">
        <w:rPr>
          <w:rFonts w:ascii="Arial" w:eastAsia="Times New Roman" w:hAnsi="Arial" w:cs="Arial"/>
          <w:color w:val="222222"/>
          <w:sz w:val="18"/>
          <w:szCs w:val="18"/>
          <w:lang w:eastAsia="es-AR"/>
        </w:rPr>
        <w:br/>
      </w:r>
      <w:r w:rsidRPr="00AD0488">
        <w:rPr>
          <w:rFonts w:ascii="Arial" w:eastAsia="Times New Roman" w:hAnsi="Arial" w:cs="Arial"/>
          <w:color w:val="222222"/>
          <w:sz w:val="18"/>
          <w:szCs w:val="18"/>
          <w:lang w:eastAsia="es-AR"/>
        </w:rPr>
        <w:br/>
      </w:r>
    </w:p>
    <w:p w:rsidR="00AD0488" w:rsidRPr="00AD0488" w:rsidRDefault="00AD0488" w:rsidP="00AD0488">
      <w:pPr>
        <w:numPr>
          <w:ilvl w:val="0"/>
          <w:numId w:val="29"/>
        </w:numPr>
        <w:shd w:val="clear" w:color="auto" w:fill="FFFFFF"/>
        <w:spacing w:after="0" w:line="255" w:lineRule="atLeast"/>
        <w:ind w:left="900" w:right="30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 xml:space="preserve">Otras enfermedades del sistema nervioso central que provocan déficit de memoria y cognoscitivos (por ejemplo: enfermedad cerebrovascular, enfermedad de Parkinson, corea de Huntington, hematoma subdural, hidrocefalia </w:t>
      </w:r>
      <w:proofErr w:type="spellStart"/>
      <w:r w:rsidRPr="00AD0488">
        <w:rPr>
          <w:rFonts w:ascii="Arial" w:eastAsia="Times New Roman" w:hAnsi="Arial" w:cs="Arial"/>
          <w:color w:val="222222"/>
          <w:sz w:val="18"/>
          <w:szCs w:val="18"/>
          <w:lang w:eastAsia="es-AR"/>
        </w:rPr>
        <w:t>normotensiva</w:t>
      </w:r>
      <w:proofErr w:type="spellEnd"/>
      <w:r w:rsidRPr="00AD0488">
        <w:rPr>
          <w:rFonts w:ascii="Arial" w:eastAsia="Times New Roman" w:hAnsi="Arial" w:cs="Arial"/>
          <w:color w:val="222222"/>
          <w:sz w:val="18"/>
          <w:szCs w:val="18"/>
          <w:lang w:eastAsia="es-AR"/>
        </w:rPr>
        <w:t>, tumor cerebral).</w:t>
      </w:r>
    </w:p>
    <w:p w:rsidR="00AD0488" w:rsidRPr="00AD0488" w:rsidRDefault="00AD0488" w:rsidP="00AD0488">
      <w:pPr>
        <w:numPr>
          <w:ilvl w:val="0"/>
          <w:numId w:val="29"/>
        </w:numPr>
        <w:shd w:val="clear" w:color="auto" w:fill="FFFFFF"/>
        <w:spacing w:after="0" w:line="255" w:lineRule="atLeast"/>
        <w:ind w:left="900" w:right="30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 xml:space="preserve">Enfermedades sistémicas que pueden provocar demencia (por ejemplo: hipotiroidismo, deficiencia de ácido fólico, vitamina B12 y niacina, hipercalcemia, </w:t>
      </w:r>
      <w:proofErr w:type="spellStart"/>
      <w:r w:rsidRPr="00AD0488">
        <w:rPr>
          <w:rFonts w:ascii="Arial" w:eastAsia="Times New Roman" w:hAnsi="Arial" w:cs="Arial"/>
          <w:color w:val="222222"/>
          <w:sz w:val="18"/>
          <w:szCs w:val="18"/>
          <w:lang w:eastAsia="es-AR"/>
        </w:rPr>
        <w:t>neurosífilis</w:t>
      </w:r>
      <w:proofErr w:type="spellEnd"/>
      <w:r w:rsidRPr="00AD0488">
        <w:rPr>
          <w:rFonts w:ascii="Arial" w:eastAsia="Times New Roman" w:hAnsi="Arial" w:cs="Arial"/>
          <w:color w:val="222222"/>
          <w:sz w:val="18"/>
          <w:szCs w:val="18"/>
          <w:lang w:eastAsia="es-AR"/>
        </w:rPr>
        <w:t>, infección por VIH).</w:t>
      </w:r>
    </w:p>
    <w:p w:rsidR="00AD0488" w:rsidRPr="00AD0488" w:rsidRDefault="00AD0488" w:rsidP="00AD0488">
      <w:pPr>
        <w:numPr>
          <w:ilvl w:val="0"/>
          <w:numId w:val="29"/>
        </w:numPr>
        <w:shd w:val="clear" w:color="auto" w:fill="FFFFFF"/>
        <w:spacing w:after="0" w:line="255" w:lineRule="atLeast"/>
        <w:ind w:left="900" w:right="30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Enfermedades inducidas por sustancias.</w:t>
      </w:r>
    </w:p>
    <w:p w:rsidR="00AD0488" w:rsidRPr="00AD0488" w:rsidRDefault="00AD0488" w:rsidP="00AD0488">
      <w:pPr>
        <w:shd w:val="clear" w:color="auto" w:fill="FFFFFF"/>
        <w:spacing w:after="0" w:line="255" w:lineRule="atLeast"/>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E. Los déficit no aparecen exclusivamente en el transcurso de un delirium.</w:t>
      </w:r>
      <w:r w:rsidRPr="00AD0488">
        <w:rPr>
          <w:rFonts w:ascii="Arial" w:eastAsia="Times New Roman" w:hAnsi="Arial" w:cs="Arial"/>
          <w:color w:val="222222"/>
          <w:sz w:val="18"/>
          <w:szCs w:val="18"/>
          <w:lang w:eastAsia="es-AR"/>
        </w:rPr>
        <w:br/>
        <w:t>F. La alteración no se explica mejor por la presencia de otro trastorno del Eje I (por ejemplo: trastorno depresivo mayor, esquizofrenia).</w:t>
      </w:r>
      <w:r w:rsidRPr="00AD0488">
        <w:rPr>
          <w:rFonts w:ascii="Arial" w:eastAsia="Times New Roman" w:hAnsi="Arial" w:cs="Arial"/>
          <w:color w:val="222222"/>
          <w:sz w:val="18"/>
          <w:szCs w:val="18"/>
          <w:lang w:eastAsia="es-AR"/>
        </w:rPr>
        <w:br/>
      </w:r>
      <w:r w:rsidRPr="00AD0488">
        <w:rPr>
          <w:rFonts w:ascii="Arial" w:eastAsia="Times New Roman" w:hAnsi="Arial" w:cs="Arial"/>
          <w:color w:val="222222"/>
          <w:sz w:val="18"/>
          <w:szCs w:val="18"/>
          <w:bdr w:val="none" w:sz="0" w:space="0" w:color="auto" w:frame="1"/>
          <w:lang w:eastAsia="es-AR"/>
        </w:rPr>
        <w:br/>
      </w:r>
      <w:r w:rsidRPr="00AD0488">
        <w:rPr>
          <w:rFonts w:ascii="Arial" w:eastAsia="Times New Roman" w:hAnsi="Arial" w:cs="Arial"/>
          <w:color w:val="222222"/>
          <w:sz w:val="18"/>
          <w:szCs w:val="18"/>
          <w:lang w:eastAsia="es-AR"/>
        </w:rPr>
        <w:t>Especificar</w:t>
      </w:r>
      <w:r w:rsidRPr="00AD0488">
        <w:rPr>
          <w:rFonts w:ascii="Arial" w:eastAsia="Times New Roman" w:hAnsi="Arial" w:cs="Arial"/>
          <w:i/>
          <w:iCs/>
          <w:color w:val="222222"/>
          <w:sz w:val="18"/>
          <w:szCs w:val="18"/>
          <w:bdr w:val="none" w:sz="0" w:space="0" w:color="auto" w:frame="1"/>
          <w:lang w:eastAsia="es-AR"/>
        </w:rPr>
        <w:t> </w:t>
      </w:r>
      <w:r w:rsidRPr="00AD0488">
        <w:rPr>
          <w:rFonts w:ascii="Arial" w:eastAsia="Times New Roman" w:hAnsi="Arial" w:cs="Arial"/>
          <w:color w:val="222222"/>
          <w:sz w:val="18"/>
          <w:szCs w:val="18"/>
          <w:lang w:eastAsia="es-AR"/>
        </w:rPr>
        <w:t>el subtipo:</w:t>
      </w:r>
      <w:r w:rsidRPr="00AD0488">
        <w:rPr>
          <w:rFonts w:ascii="Arial" w:eastAsia="Times New Roman" w:hAnsi="Arial" w:cs="Arial"/>
          <w:color w:val="222222"/>
          <w:sz w:val="18"/>
          <w:szCs w:val="18"/>
          <w:lang w:eastAsia="es-AR"/>
        </w:rPr>
        <w:br/>
      </w:r>
      <w:r w:rsidRPr="00AD0488">
        <w:rPr>
          <w:rFonts w:ascii="Arial" w:eastAsia="Times New Roman" w:hAnsi="Arial" w:cs="Arial"/>
          <w:color w:val="222222"/>
          <w:sz w:val="18"/>
          <w:szCs w:val="18"/>
          <w:lang w:eastAsia="es-AR"/>
        </w:rPr>
        <w:br/>
      </w:r>
    </w:p>
    <w:p w:rsidR="00AD0488" w:rsidRPr="00AD0488" w:rsidRDefault="00AD0488" w:rsidP="00AD0488">
      <w:pPr>
        <w:numPr>
          <w:ilvl w:val="0"/>
          <w:numId w:val="30"/>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De inicio temprano: si el inicio se produce a la edad de 65 años o antes.</w:t>
      </w:r>
    </w:p>
    <w:p w:rsidR="00AD0488" w:rsidRPr="00AD0488" w:rsidRDefault="00AD0488" w:rsidP="00AD0488">
      <w:pPr>
        <w:numPr>
          <w:ilvl w:val="0"/>
          <w:numId w:val="30"/>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De inicio tardío: si el inicio se produce después de los 65 años.</w:t>
      </w:r>
    </w:p>
    <w:p w:rsidR="00AD0488" w:rsidRPr="00AD0488" w:rsidRDefault="00AD0488" w:rsidP="00AD0488">
      <w:pPr>
        <w:shd w:val="clear" w:color="auto" w:fill="FFFFFF"/>
        <w:spacing w:after="0" w:line="255" w:lineRule="atLeast"/>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br/>
        <w:t>Especificar la presencia o ausencia de una alteración de comportamiento clínicamente significativa:</w:t>
      </w:r>
      <w:r w:rsidRPr="00AD0488">
        <w:rPr>
          <w:rFonts w:ascii="Arial" w:eastAsia="Times New Roman" w:hAnsi="Arial" w:cs="Arial"/>
          <w:color w:val="222222"/>
          <w:sz w:val="18"/>
          <w:szCs w:val="18"/>
          <w:lang w:eastAsia="es-AR"/>
        </w:rPr>
        <w:br/>
      </w:r>
      <w:r w:rsidRPr="00AD0488">
        <w:rPr>
          <w:rFonts w:ascii="Arial" w:eastAsia="Times New Roman" w:hAnsi="Arial" w:cs="Arial"/>
          <w:color w:val="222222"/>
          <w:sz w:val="18"/>
          <w:szCs w:val="18"/>
          <w:lang w:eastAsia="es-AR"/>
        </w:rPr>
        <w:br/>
      </w:r>
    </w:p>
    <w:p w:rsidR="00AD0488" w:rsidRPr="00AD0488" w:rsidRDefault="00AD0488" w:rsidP="00AD0488">
      <w:pPr>
        <w:numPr>
          <w:ilvl w:val="0"/>
          <w:numId w:val="31"/>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Sin alteración de comportamiento: si la alteración cognoscitiva no se acompaña de una alteración de comportamiento clínicamente significativa.</w:t>
      </w:r>
    </w:p>
    <w:p w:rsidR="00AD0488" w:rsidRPr="00AD0488" w:rsidRDefault="00AD0488" w:rsidP="00AD0488">
      <w:pPr>
        <w:numPr>
          <w:ilvl w:val="0"/>
          <w:numId w:val="31"/>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Con alteración de comportamiento: si la alteración cognoscitiva se acompaña de una alteración de comportamiento clínicamente significativa (por ejemplo: andar sin rumbo, agitación).</w:t>
      </w:r>
    </w:p>
    <w:p w:rsidR="00AD0488" w:rsidRPr="00AD0488" w:rsidRDefault="00FB5C3E" w:rsidP="00AD0488">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26" w:anchor="top" w:tgtFrame="_blank" w:history="1">
        <w:r w:rsidR="00AD0488" w:rsidRPr="00AD0488">
          <w:rPr>
            <w:rFonts w:ascii="Arial" w:eastAsia="Times New Roman" w:hAnsi="Arial" w:cs="Arial"/>
            <w:b/>
            <w:bCs/>
            <w:color w:val="008888"/>
            <w:sz w:val="18"/>
            <w:szCs w:val="18"/>
            <w:u w:val="single"/>
            <w:bdr w:val="none" w:sz="0" w:space="0" w:color="auto" w:frame="1"/>
            <w:lang w:eastAsia="es-AR"/>
          </w:rPr>
          <w:t>subir</w:t>
        </w:r>
      </w:hyperlink>
    </w:p>
    <w:p w:rsidR="00AD0488" w:rsidRPr="00AD0488" w:rsidRDefault="00AD0488" w:rsidP="00AD0488">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4" w:name="x_3881"/>
      <w:bookmarkEnd w:id="4"/>
      <w:r w:rsidRPr="00AD0488">
        <w:rPr>
          <w:rFonts w:ascii="Arial" w:eastAsia="Times New Roman" w:hAnsi="Arial" w:cs="Arial"/>
          <w:b/>
          <w:bCs/>
          <w:color w:val="008888"/>
          <w:sz w:val="21"/>
          <w:szCs w:val="21"/>
          <w:lang w:eastAsia="es-AR"/>
        </w:rPr>
        <w:t>Exploraciones complementarias</w:t>
      </w:r>
    </w:p>
    <w:p w:rsidR="00AD0488" w:rsidRPr="00AD0488" w:rsidRDefault="00AD0488" w:rsidP="00AD0488">
      <w:pPr>
        <w:shd w:val="clear" w:color="auto" w:fill="FFFFFF"/>
        <w:spacing w:after="0" w:line="255" w:lineRule="atLeast"/>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br/>
      </w:r>
    </w:p>
    <w:p w:rsidR="00AD0488" w:rsidRPr="00AD0488" w:rsidRDefault="00AD0488" w:rsidP="00AD0488">
      <w:pPr>
        <w:numPr>
          <w:ilvl w:val="0"/>
          <w:numId w:val="32"/>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Análisis: hemograma completo, VSG, bioquímica e iones (sodio, potasio, calcio, glucemia, urea, creatinina, transaminasas), pruebas de función tiroidea, vitamina B12 y ácido fólico. No se debe pedir de rutina serologías de sífilis o VIH (si no hay factores de riesgo o clínica de estas patologías) (NICE, 2011).</w:t>
      </w:r>
    </w:p>
    <w:p w:rsidR="00AD0488" w:rsidRPr="00AD0488" w:rsidRDefault="00AD0488" w:rsidP="00AD0488">
      <w:pPr>
        <w:numPr>
          <w:ilvl w:val="0"/>
          <w:numId w:val="32"/>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Deben solicitarse RM o TAC cerebral (generalmente se evidencia dilatación ventricular y aumento de los surcos corticales). El SPECT o el PET pueden ser útiles para diferenciar entre diferentes tipos de demencia (no se recomienda su uso rutinario) (GPC Demencias SNS, 2010).</w:t>
      </w:r>
    </w:p>
    <w:p w:rsidR="00AD0488" w:rsidRPr="00AD0488" w:rsidRDefault="00AD0488" w:rsidP="00AD0488">
      <w:pPr>
        <w:numPr>
          <w:ilvl w:val="0"/>
          <w:numId w:val="32"/>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Actualmente no está indicado ningún estudio genético de forma rutinaria (GPC Demencias SNS, 2010).</w:t>
      </w:r>
    </w:p>
    <w:p w:rsidR="00AD0488" w:rsidRPr="00AD0488" w:rsidRDefault="00AD0488" w:rsidP="00AD0488">
      <w:pPr>
        <w:shd w:val="clear" w:color="auto" w:fill="FFFFFF"/>
        <w:spacing w:after="0" w:line="255" w:lineRule="atLeast"/>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lastRenderedPageBreak/>
        <w:br/>
      </w:r>
      <w:r w:rsidRPr="00AD0488">
        <w:rPr>
          <w:rFonts w:ascii="Arial" w:eastAsia="Times New Roman" w:hAnsi="Arial" w:cs="Arial"/>
          <w:color w:val="222222"/>
          <w:sz w:val="18"/>
          <w:szCs w:val="18"/>
          <w:lang w:eastAsia="es-AR"/>
        </w:rPr>
        <w:br/>
      </w:r>
    </w:p>
    <w:tbl>
      <w:tblPr>
        <w:tblW w:w="0" w:type="auto"/>
        <w:jc w:val="center"/>
        <w:tblBorders>
          <w:top w:val="single" w:sz="6" w:space="0" w:color="008888"/>
          <w:left w:val="single" w:sz="6" w:space="0" w:color="008888"/>
          <w:bottom w:val="single" w:sz="6" w:space="0" w:color="008888"/>
          <w:right w:val="single" w:sz="6" w:space="0" w:color="008888"/>
        </w:tblBorders>
        <w:shd w:val="clear" w:color="auto" w:fill="F9F9F9"/>
        <w:tblCellMar>
          <w:left w:w="0" w:type="dxa"/>
          <w:right w:w="0" w:type="dxa"/>
        </w:tblCellMar>
        <w:tblLook w:val="04A0" w:firstRow="1" w:lastRow="0" w:firstColumn="1" w:lastColumn="0" w:noHBand="0" w:noVBand="1"/>
      </w:tblPr>
      <w:tblGrid>
        <w:gridCol w:w="6000"/>
      </w:tblGrid>
      <w:tr w:rsidR="00AD0488" w:rsidRPr="00AD0488" w:rsidTr="00AD0488">
        <w:trPr>
          <w:jc w:val="center"/>
        </w:trPr>
        <w:tc>
          <w:tcPr>
            <w:tcW w:w="0" w:type="auto"/>
            <w:tcBorders>
              <w:top w:val="nil"/>
              <w:left w:val="nil"/>
              <w:bottom w:val="nil"/>
              <w:right w:val="nil"/>
            </w:tcBorders>
            <w:shd w:val="clear" w:color="auto" w:fill="E5E5E5"/>
            <w:tcMar>
              <w:top w:w="75" w:type="dxa"/>
              <w:left w:w="75" w:type="dxa"/>
              <w:bottom w:w="75" w:type="dxa"/>
              <w:right w:w="75" w:type="dxa"/>
            </w:tcMar>
            <w:vAlign w:val="bottom"/>
            <w:hideMark/>
          </w:tcPr>
          <w:p w:rsidR="00AD0488" w:rsidRPr="00AD0488" w:rsidRDefault="00AD0488" w:rsidP="00AD0488">
            <w:pPr>
              <w:spacing w:after="0" w:line="240" w:lineRule="auto"/>
              <w:jc w:val="center"/>
              <w:rPr>
                <w:rFonts w:ascii="Times New Roman" w:eastAsia="Times New Roman" w:hAnsi="Times New Roman" w:cs="Times New Roman"/>
                <w:color w:val="333333"/>
                <w:sz w:val="18"/>
                <w:szCs w:val="18"/>
                <w:lang w:eastAsia="es-AR"/>
              </w:rPr>
            </w:pPr>
            <w:r w:rsidRPr="00AD0488">
              <w:rPr>
                <w:rFonts w:ascii="Times New Roman" w:eastAsia="Times New Roman" w:hAnsi="Times New Roman" w:cs="Times New Roman"/>
                <w:noProof/>
                <w:color w:val="333333"/>
                <w:sz w:val="18"/>
                <w:szCs w:val="18"/>
                <w:lang w:eastAsia="es-AR"/>
              </w:rPr>
              <w:drawing>
                <wp:inline distT="0" distB="0" distL="0" distR="0" wp14:anchorId="4E351D4E" wp14:editId="0F5A51BE">
                  <wp:extent cx="3705225" cy="6467475"/>
                  <wp:effectExtent l="0" t="0" r="9525" b="9525"/>
                  <wp:docPr id="6" name="Imagen 6" descr="http://www.fisterra.com/gestor/upload/guias/Alzheime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isterra.com/gestor/upload/guias/Alzheimer(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05225" cy="6467475"/>
                          </a:xfrm>
                          <a:prstGeom prst="rect">
                            <a:avLst/>
                          </a:prstGeom>
                          <a:noFill/>
                          <a:ln>
                            <a:noFill/>
                          </a:ln>
                        </pic:spPr>
                      </pic:pic>
                    </a:graphicData>
                  </a:graphic>
                </wp:inline>
              </w:drawing>
            </w:r>
          </w:p>
        </w:tc>
      </w:tr>
      <w:tr w:rsidR="00AD0488" w:rsidRPr="00AD0488" w:rsidTr="00AD0488">
        <w:trPr>
          <w:jc w:val="center"/>
        </w:trPr>
        <w:tc>
          <w:tcPr>
            <w:tcW w:w="0" w:type="auto"/>
            <w:tcBorders>
              <w:top w:val="nil"/>
              <w:left w:val="nil"/>
              <w:bottom w:val="nil"/>
              <w:right w:val="nil"/>
            </w:tcBorders>
            <w:shd w:val="clear" w:color="auto" w:fill="F9F9F9"/>
            <w:tcMar>
              <w:top w:w="75" w:type="dxa"/>
              <w:left w:w="75" w:type="dxa"/>
              <w:bottom w:w="75" w:type="dxa"/>
              <w:right w:w="75" w:type="dxa"/>
            </w:tcMar>
            <w:vAlign w:val="bottom"/>
            <w:hideMark/>
          </w:tcPr>
          <w:p w:rsidR="00AD0488" w:rsidRPr="00AD0488" w:rsidRDefault="00AD0488" w:rsidP="00AD0488">
            <w:pPr>
              <w:spacing w:after="0" w:line="240" w:lineRule="auto"/>
              <w:jc w:val="center"/>
              <w:rPr>
                <w:rFonts w:ascii="Times New Roman" w:eastAsia="Times New Roman" w:hAnsi="Times New Roman" w:cs="Times New Roman"/>
                <w:color w:val="333333"/>
                <w:sz w:val="18"/>
                <w:szCs w:val="18"/>
                <w:lang w:eastAsia="es-AR"/>
              </w:rPr>
            </w:pPr>
            <w:r w:rsidRPr="00AD0488">
              <w:rPr>
                <w:rFonts w:ascii="Times New Roman" w:eastAsia="Times New Roman" w:hAnsi="Times New Roman" w:cs="Times New Roman"/>
                <w:b/>
                <w:bCs/>
                <w:color w:val="333333"/>
                <w:sz w:val="18"/>
                <w:szCs w:val="18"/>
                <w:bdr w:val="none" w:sz="0" w:space="0" w:color="auto" w:frame="1"/>
                <w:lang w:eastAsia="es-AR"/>
              </w:rPr>
              <w:t>Actitud diagnóstica en el paciente con demencia</w:t>
            </w:r>
          </w:p>
        </w:tc>
      </w:tr>
    </w:tbl>
    <w:p w:rsidR="00AD0488" w:rsidRPr="00AD0488" w:rsidRDefault="00AD0488" w:rsidP="00AD0488">
      <w:pPr>
        <w:shd w:val="clear" w:color="auto" w:fill="FFFFFF"/>
        <w:spacing w:after="240" w:line="255" w:lineRule="atLeast"/>
        <w:textAlignment w:val="baseline"/>
        <w:rPr>
          <w:rFonts w:ascii="Arial" w:eastAsia="Times New Roman" w:hAnsi="Arial" w:cs="Arial"/>
          <w:color w:val="222222"/>
          <w:sz w:val="18"/>
          <w:szCs w:val="18"/>
          <w:lang w:eastAsia="es-AR"/>
        </w:rPr>
      </w:pPr>
    </w:p>
    <w:p w:rsidR="00AD0488" w:rsidRPr="00AD0488" w:rsidRDefault="00FB5C3E" w:rsidP="00AD0488">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28" w:anchor="top" w:tgtFrame="_blank" w:history="1">
        <w:r w:rsidR="00AD0488" w:rsidRPr="00AD0488">
          <w:rPr>
            <w:rFonts w:ascii="Arial" w:eastAsia="Times New Roman" w:hAnsi="Arial" w:cs="Arial"/>
            <w:b/>
            <w:bCs/>
            <w:color w:val="008888"/>
            <w:sz w:val="18"/>
            <w:szCs w:val="18"/>
            <w:u w:val="single"/>
            <w:bdr w:val="none" w:sz="0" w:space="0" w:color="auto" w:frame="1"/>
            <w:lang w:eastAsia="es-AR"/>
          </w:rPr>
          <w:t>subir</w:t>
        </w:r>
      </w:hyperlink>
    </w:p>
    <w:p w:rsidR="00AD0488" w:rsidRPr="00AD0488" w:rsidRDefault="00AD0488" w:rsidP="00AD0488">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5" w:name="x_3781"/>
      <w:bookmarkEnd w:id="5"/>
      <w:r w:rsidRPr="00AD0488">
        <w:rPr>
          <w:rFonts w:ascii="Arial" w:eastAsia="Times New Roman" w:hAnsi="Arial" w:cs="Arial"/>
          <w:b/>
          <w:bCs/>
          <w:color w:val="008888"/>
          <w:sz w:val="21"/>
          <w:szCs w:val="21"/>
          <w:lang w:eastAsia="es-AR"/>
        </w:rPr>
        <w:t>Diagnóstico diferencial</w:t>
      </w:r>
    </w:p>
    <w:p w:rsidR="00AD0488" w:rsidRPr="00AD0488" w:rsidRDefault="00AD0488" w:rsidP="00AD0488">
      <w:pPr>
        <w:shd w:val="clear" w:color="auto" w:fill="FFFFFF"/>
        <w:spacing w:after="240" w:line="255" w:lineRule="atLeast"/>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br/>
        <w:t xml:space="preserve">Deben contemplarse las cuatro “D” de la Geriatría: Depresión, Delirium (síndrome </w:t>
      </w:r>
      <w:proofErr w:type="spellStart"/>
      <w:r w:rsidRPr="00AD0488">
        <w:rPr>
          <w:rFonts w:ascii="Arial" w:eastAsia="Times New Roman" w:hAnsi="Arial" w:cs="Arial"/>
          <w:color w:val="222222"/>
          <w:sz w:val="18"/>
          <w:szCs w:val="18"/>
          <w:lang w:eastAsia="es-AR"/>
        </w:rPr>
        <w:t>confusional</w:t>
      </w:r>
      <w:proofErr w:type="spellEnd"/>
      <w:r w:rsidRPr="00AD0488">
        <w:rPr>
          <w:rFonts w:ascii="Arial" w:eastAsia="Times New Roman" w:hAnsi="Arial" w:cs="Arial"/>
          <w:color w:val="222222"/>
          <w:sz w:val="18"/>
          <w:szCs w:val="18"/>
          <w:lang w:eastAsia="es-AR"/>
        </w:rPr>
        <w:t>), Drogas (incluyendo fármacos) y Demencia.</w:t>
      </w:r>
      <w:r w:rsidRPr="00AD0488">
        <w:rPr>
          <w:rFonts w:ascii="Arial" w:eastAsia="Times New Roman" w:hAnsi="Arial" w:cs="Arial"/>
          <w:color w:val="222222"/>
          <w:sz w:val="18"/>
          <w:szCs w:val="18"/>
          <w:lang w:eastAsia="es-AR"/>
        </w:rPr>
        <w:br/>
      </w:r>
      <w:r w:rsidRPr="00AD0488">
        <w:rPr>
          <w:rFonts w:ascii="Arial" w:eastAsia="Times New Roman" w:hAnsi="Arial" w:cs="Arial"/>
          <w:color w:val="222222"/>
          <w:sz w:val="18"/>
          <w:szCs w:val="18"/>
          <w:lang w:eastAsia="es-AR"/>
        </w:rPr>
        <w:br/>
      </w:r>
      <w:r w:rsidRPr="00AD0488">
        <w:rPr>
          <w:rFonts w:ascii="Arial" w:eastAsia="Times New Roman" w:hAnsi="Arial" w:cs="Arial"/>
          <w:color w:val="222222"/>
          <w:sz w:val="18"/>
          <w:szCs w:val="18"/>
          <w:lang w:eastAsia="es-AR"/>
        </w:rPr>
        <w:lastRenderedPageBreak/>
        <w:t>Un cuadro depresivo puede parecerse a una DTA y debe ser considerado en el diagnóstico diferencial (GPC Demencias SNS, 2010). Es importante no pasar por alto el diagnóstico de depresión debido a que es una de las pocas causas de pérdida de memoria susceptible de tratamiento efectivo.</w:t>
      </w:r>
    </w:p>
    <w:tbl>
      <w:tblPr>
        <w:tblW w:w="4500" w:type="pct"/>
        <w:jc w:val="center"/>
        <w:tblBorders>
          <w:top w:val="single" w:sz="2" w:space="0" w:color="008888"/>
          <w:left w:val="single" w:sz="2" w:space="0" w:color="008888"/>
          <w:bottom w:val="single" w:sz="2" w:space="0" w:color="008888"/>
          <w:right w:val="single" w:sz="2" w:space="0" w:color="008888"/>
        </w:tblBorders>
        <w:shd w:val="clear" w:color="auto" w:fill="F9F9F9"/>
        <w:tblCellMar>
          <w:left w:w="0" w:type="dxa"/>
          <w:right w:w="0" w:type="dxa"/>
        </w:tblCellMar>
        <w:tblLook w:val="04A0" w:firstRow="1" w:lastRow="0" w:firstColumn="1" w:lastColumn="0" w:noHBand="0" w:noVBand="1"/>
      </w:tblPr>
      <w:tblGrid>
        <w:gridCol w:w="1374"/>
        <w:gridCol w:w="3856"/>
        <w:gridCol w:w="3274"/>
      </w:tblGrid>
      <w:tr w:rsidR="00AD0488" w:rsidRPr="00AD0488" w:rsidTr="00AD0488">
        <w:trPr>
          <w:trHeight w:val="285"/>
          <w:jc w:val="center"/>
        </w:trPr>
        <w:tc>
          <w:tcPr>
            <w:tcW w:w="0" w:type="auto"/>
            <w:gridSpan w:val="3"/>
            <w:tcBorders>
              <w:top w:val="nil"/>
              <w:left w:val="nil"/>
              <w:bottom w:val="nil"/>
              <w:right w:val="nil"/>
            </w:tcBorders>
            <w:shd w:val="clear" w:color="auto" w:fill="008888"/>
            <w:noWrap/>
            <w:tcMar>
              <w:top w:w="75" w:type="dxa"/>
              <w:left w:w="75" w:type="dxa"/>
              <w:bottom w:w="75" w:type="dxa"/>
              <w:right w:w="75" w:type="dxa"/>
            </w:tcMar>
            <w:vAlign w:val="bottom"/>
            <w:hideMark/>
          </w:tcPr>
          <w:p w:rsidR="00AD0488" w:rsidRPr="00AD0488" w:rsidRDefault="00AD0488" w:rsidP="00AD0488">
            <w:pPr>
              <w:spacing w:after="0" w:line="240" w:lineRule="auto"/>
              <w:rPr>
                <w:rFonts w:ascii="Verdana" w:eastAsia="Times New Roman" w:hAnsi="Verdana" w:cs="Times New Roman"/>
                <w:color w:val="FFFFFF"/>
                <w:sz w:val="15"/>
                <w:szCs w:val="15"/>
                <w:lang w:eastAsia="es-AR"/>
              </w:rPr>
            </w:pPr>
            <w:r w:rsidRPr="00AD0488">
              <w:rPr>
                <w:rFonts w:ascii="Arial" w:eastAsia="Times New Roman" w:hAnsi="Arial" w:cs="Arial"/>
                <w:b/>
                <w:bCs/>
                <w:color w:val="FFFFFF"/>
                <w:sz w:val="18"/>
                <w:szCs w:val="18"/>
                <w:bdr w:val="none" w:sz="0" w:space="0" w:color="auto" w:frame="1"/>
                <w:lang w:eastAsia="es-AR"/>
              </w:rPr>
              <w:t>  Tabla 1. Diagnóstico diferencial entre depresión y demencia</w:t>
            </w:r>
          </w:p>
        </w:tc>
      </w:tr>
      <w:tr w:rsidR="00AD0488" w:rsidRPr="00AD0488" w:rsidTr="00AD0488">
        <w:trPr>
          <w:jc w:val="center"/>
        </w:trPr>
        <w:tc>
          <w:tcPr>
            <w:tcW w:w="0" w:type="auto"/>
            <w:tcBorders>
              <w:top w:val="dashed" w:sz="6" w:space="0" w:color="CCCCCC"/>
              <w:left w:val="dashed" w:sz="6" w:space="0" w:color="CCCCCC"/>
              <w:bottom w:val="dashed" w:sz="6" w:space="0" w:color="CCCCCC"/>
              <w:right w:val="dashed" w:sz="6" w:space="0" w:color="CCCCCC"/>
            </w:tcBorders>
            <w:shd w:val="clear" w:color="auto" w:fill="E5E5E5"/>
            <w:noWrap/>
            <w:tcMar>
              <w:top w:w="90" w:type="dxa"/>
              <w:left w:w="90" w:type="dxa"/>
              <w:bottom w:w="90" w:type="dxa"/>
              <w:right w:w="90" w:type="dxa"/>
            </w:tcMar>
            <w:vAlign w:val="bottom"/>
            <w:hideMark/>
          </w:tcPr>
          <w:p w:rsidR="00AD0488" w:rsidRPr="00AD0488" w:rsidRDefault="00AD0488" w:rsidP="00AD0488">
            <w:pPr>
              <w:spacing w:after="0" w:line="240" w:lineRule="auto"/>
              <w:jc w:val="center"/>
              <w:rPr>
                <w:rFonts w:ascii="Times New Roman" w:eastAsia="Times New Roman" w:hAnsi="Times New Roman" w:cs="Times New Roman"/>
                <w:color w:val="333333"/>
                <w:sz w:val="18"/>
                <w:szCs w:val="18"/>
                <w:lang w:eastAsia="es-AR"/>
              </w:rPr>
            </w:pPr>
            <w:r w:rsidRPr="00AD0488">
              <w:rPr>
                <w:rFonts w:ascii="Times New Roman" w:eastAsia="Times New Roman" w:hAnsi="Times New Roman" w:cs="Times New Roman"/>
                <w:b/>
                <w:bCs/>
                <w:color w:val="333333"/>
                <w:sz w:val="18"/>
                <w:szCs w:val="18"/>
                <w:bdr w:val="none" w:sz="0" w:space="0" w:color="auto" w:frame="1"/>
                <w:lang w:eastAsia="es-AR"/>
              </w:rPr>
              <w:t>Rasgos clínicos</w:t>
            </w:r>
          </w:p>
        </w:tc>
        <w:tc>
          <w:tcPr>
            <w:tcW w:w="0" w:type="auto"/>
            <w:tcBorders>
              <w:top w:val="dashed" w:sz="6" w:space="0" w:color="CCCCCC"/>
              <w:left w:val="dashed" w:sz="6" w:space="0" w:color="CCCCCC"/>
              <w:bottom w:val="dashed" w:sz="6" w:space="0" w:color="CCCCCC"/>
              <w:right w:val="dashed" w:sz="6" w:space="0" w:color="CCCCCC"/>
            </w:tcBorders>
            <w:shd w:val="clear" w:color="auto" w:fill="E5E5E5"/>
            <w:noWrap/>
            <w:tcMar>
              <w:top w:w="90" w:type="dxa"/>
              <w:left w:w="90" w:type="dxa"/>
              <w:bottom w:w="90" w:type="dxa"/>
              <w:right w:w="90" w:type="dxa"/>
            </w:tcMar>
            <w:vAlign w:val="bottom"/>
            <w:hideMark/>
          </w:tcPr>
          <w:p w:rsidR="00AD0488" w:rsidRPr="00AD0488" w:rsidRDefault="00AD0488" w:rsidP="00AD0488">
            <w:pPr>
              <w:spacing w:after="0" w:line="240" w:lineRule="auto"/>
              <w:jc w:val="center"/>
              <w:rPr>
                <w:rFonts w:ascii="Times New Roman" w:eastAsia="Times New Roman" w:hAnsi="Times New Roman" w:cs="Times New Roman"/>
                <w:color w:val="333333"/>
                <w:sz w:val="18"/>
                <w:szCs w:val="18"/>
                <w:lang w:eastAsia="es-AR"/>
              </w:rPr>
            </w:pPr>
            <w:r w:rsidRPr="00AD0488">
              <w:rPr>
                <w:rFonts w:ascii="Times New Roman" w:eastAsia="Times New Roman" w:hAnsi="Times New Roman" w:cs="Times New Roman"/>
                <w:b/>
                <w:bCs/>
                <w:color w:val="333333"/>
                <w:sz w:val="18"/>
                <w:szCs w:val="18"/>
                <w:bdr w:val="none" w:sz="0" w:space="0" w:color="auto" w:frame="1"/>
                <w:lang w:eastAsia="es-AR"/>
              </w:rPr>
              <w:t>Depresión con deterioro cognitivo</w:t>
            </w:r>
          </w:p>
        </w:tc>
        <w:tc>
          <w:tcPr>
            <w:tcW w:w="0" w:type="auto"/>
            <w:tcBorders>
              <w:top w:val="dashed" w:sz="6" w:space="0" w:color="CCCCCC"/>
              <w:left w:val="dashed" w:sz="6" w:space="0" w:color="CCCCCC"/>
              <w:bottom w:val="dashed" w:sz="6" w:space="0" w:color="CCCCCC"/>
              <w:right w:val="dashed" w:sz="6" w:space="0" w:color="CCCCCC"/>
            </w:tcBorders>
            <w:shd w:val="clear" w:color="auto" w:fill="E5E5E5"/>
            <w:noWrap/>
            <w:tcMar>
              <w:top w:w="90" w:type="dxa"/>
              <w:left w:w="90" w:type="dxa"/>
              <w:bottom w:w="90" w:type="dxa"/>
              <w:right w:w="90" w:type="dxa"/>
            </w:tcMar>
            <w:vAlign w:val="bottom"/>
            <w:hideMark/>
          </w:tcPr>
          <w:p w:rsidR="00AD0488" w:rsidRPr="00AD0488" w:rsidRDefault="00AD0488" w:rsidP="00AD0488">
            <w:pPr>
              <w:spacing w:after="0" w:line="240" w:lineRule="auto"/>
              <w:jc w:val="center"/>
              <w:rPr>
                <w:rFonts w:ascii="Times New Roman" w:eastAsia="Times New Roman" w:hAnsi="Times New Roman" w:cs="Times New Roman"/>
                <w:color w:val="333333"/>
                <w:sz w:val="18"/>
                <w:szCs w:val="18"/>
                <w:lang w:eastAsia="es-AR"/>
              </w:rPr>
            </w:pPr>
            <w:r w:rsidRPr="00AD0488">
              <w:rPr>
                <w:rFonts w:ascii="Times New Roman" w:eastAsia="Times New Roman" w:hAnsi="Times New Roman" w:cs="Times New Roman"/>
                <w:b/>
                <w:bCs/>
                <w:color w:val="333333"/>
                <w:sz w:val="18"/>
                <w:szCs w:val="18"/>
                <w:bdr w:val="none" w:sz="0" w:space="0" w:color="auto" w:frame="1"/>
                <w:lang w:eastAsia="es-AR"/>
              </w:rPr>
              <w:t>Demencia</w:t>
            </w:r>
          </w:p>
        </w:tc>
      </w:tr>
      <w:tr w:rsidR="00AD0488" w:rsidRPr="00AD0488" w:rsidTr="00AD0488">
        <w:trPr>
          <w:jc w:val="center"/>
        </w:trPr>
        <w:tc>
          <w:tcPr>
            <w:tcW w:w="0" w:type="auto"/>
            <w:tcBorders>
              <w:top w:val="dashed" w:sz="6" w:space="0" w:color="CCCCCC"/>
              <w:left w:val="dashed" w:sz="6" w:space="0" w:color="CCCCCC"/>
              <w:bottom w:val="dashed" w:sz="6" w:space="0" w:color="CCCCCC"/>
              <w:right w:val="dashed" w:sz="6" w:space="0" w:color="CCCCCC"/>
            </w:tcBorders>
            <w:shd w:val="clear" w:color="auto" w:fill="E5E5E5"/>
            <w:noWrap/>
            <w:tcMar>
              <w:top w:w="90" w:type="dxa"/>
              <w:left w:w="90" w:type="dxa"/>
              <w:bottom w:w="90" w:type="dxa"/>
              <w:right w:w="90" w:type="dxa"/>
            </w:tcMar>
            <w:vAlign w:val="bottom"/>
            <w:hideMark/>
          </w:tcPr>
          <w:p w:rsidR="00AD0488" w:rsidRPr="00AD0488" w:rsidRDefault="00AD0488" w:rsidP="00AD0488">
            <w:pPr>
              <w:spacing w:after="0" w:line="240" w:lineRule="auto"/>
              <w:jc w:val="center"/>
              <w:rPr>
                <w:rFonts w:ascii="Times New Roman" w:eastAsia="Times New Roman" w:hAnsi="Times New Roman" w:cs="Times New Roman"/>
                <w:color w:val="333333"/>
                <w:sz w:val="18"/>
                <w:szCs w:val="18"/>
                <w:lang w:eastAsia="es-AR"/>
              </w:rPr>
            </w:pPr>
            <w:r w:rsidRPr="00AD0488">
              <w:rPr>
                <w:rFonts w:ascii="Times New Roman" w:eastAsia="Times New Roman" w:hAnsi="Times New Roman" w:cs="Times New Roman"/>
                <w:b/>
                <w:bCs/>
                <w:color w:val="333333"/>
                <w:sz w:val="18"/>
                <w:szCs w:val="18"/>
                <w:bdr w:val="none" w:sz="0" w:space="0" w:color="auto" w:frame="1"/>
                <w:lang w:eastAsia="es-AR"/>
              </w:rPr>
              <w:t>Inicio</w:t>
            </w:r>
          </w:p>
        </w:tc>
        <w:tc>
          <w:tcPr>
            <w:tcW w:w="0" w:type="auto"/>
            <w:tcBorders>
              <w:top w:val="dashed" w:sz="6" w:space="0" w:color="CCCCCC"/>
              <w:left w:val="dashed" w:sz="6" w:space="0" w:color="CCCCCC"/>
              <w:bottom w:val="dashed" w:sz="6" w:space="0" w:color="CCCCCC"/>
              <w:right w:val="dashed" w:sz="6" w:space="0" w:color="CCCCCC"/>
            </w:tcBorders>
            <w:shd w:val="clear" w:color="auto" w:fill="F7F7F7"/>
            <w:noWrap/>
            <w:tcMar>
              <w:top w:w="90" w:type="dxa"/>
              <w:left w:w="90" w:type="dxa"/>
              <w:bottom w:w="90" w:type="dxa"/>
              <w:right w:w="90" w:type="dxa"/>
            </w:tcMar>
            <w:vAlign w:val="bottom"/>
            <w:hideMark/>
          </w:tcPr>
          <w:p w:rsidR="00AD0488" w:rsidRPr="00AD0488" w:rsidRDefault="00AD0488" w:rsidP="00AD0488">
            <w:pPr>
              <w:spacing w:after="0" w:line="240" w:lineRule="auto"/>
              <w:jc w:val="center"/>
              <w:rPr>
                <w:rFonts w:ascii="Times New Roman" w:eastAsia="Times New Roman" w:hAnsi="Times New Roman" w:cs="Times New Roman"/>
                <w:color w:val="333333"/>
                <w:sz w:val="18"/>
                <w:szCs w:val="18"/>
                <w:lang w:eastAsia="es-AR"/>
              </w:rPr>
            </w:pPr>
            <w:r w:rsidRPr="00AD0488">
              <w:rPr>
                <w:rFonts w:ascii="Times New Roman" w:eastAsia="Times New Roman" w:hAnsi="Times New Roman" w:cs="Times New Roman"/>
                <w:color w:val="333333"/>
                <w:sz w:val="18"/>
                <w:szCs w:val="18"/>
                <w:lang w:eastAsia="es-AR"/>
              </w:rPr>
              <w:t>Rápido</w:t>
            </w:r>
          </w:p>
        </w:tc>
        <w:tc>
          <w:tcPr>
            <w:tcW w:w="0" w:type="auto"/>
            <w:tcBorders>
              <w:top w:val="dashed" w:sz="6" w:space="0" w:color="CCCCCC"/>
              <w:left w:val="dashed" w:sz="6" w:space="0" w:color="CCCCCC"/>
              <w:bottom w:val="dashed" w:sz="6" w:space="0" w:color="CCCCCC"/>
              <w:right w:val="dashed" w:sz="6" w:space="0" w:color="CCCCCC"/>
            </w:tcBorders>
            <w:shd w:val="clear" w:color="auto" w:fill="F7F7F7"/>
            <w:noWrap/>
            <w:tcMar>
              <w:top w:w="90" w:type="dxa"/>
              <w:left w:w="90" w:type="dxa"/>
              <w:bottom w:w="90" w:type="dxa"/>
              <w:right w:w="90" w:type="dxa"/>
            </w:tcMar>
            <w:vAlign w:val="bottom"/>
            <w:hideMark/>
          </w:tcPr>
          <w:p w:rsidR="00AD0488" w:rsidRPr="00AD0488" w:rsidRDefault="00AD0488" w:rsidP="00AD0488">
            <w:pPr>
              <w:spacing w:after="0" w:line="240" w:lineRule="auto"/>
              <w:jc w:val="center"/>
              <w:rPr>
                <w:rFonts w:ascii="Times New Roman" w:eastAsia="Times New Roman" w:hAnsi="Times New Roman" w:cs="Times New Roman"/>
                <w:color w:val="333333"/>
                <w:sz w:val="18"/>
                <w:szCs w:val="18"/>
                <w:lang w:eastAsia="es-AR"/>
              </w:rPr>
            </w:pPr>
            <w:r w:rsidRPr="00AD0488">
              <w:rPr>
                <w:rFonts w:ascii="Times New Roman" w:eastAsia="Times New Roman" w:hAnsi="Times New Roman" w:cs="Times New Roman"/>
                <w:color w:val="333333"/>
                <w:sz w:val="18"/>
                <w:szCs w:val="18"/>
                <w:lang w:eastAsia="es-AR"/>
              </w:rPr>
              <w:t>Insidioso</w:t>
            </w:r>
          </w:p>
        </w:tc>
      </w:tr>
      <w:tr w:rsidR="00AD0488" w:rsidRPr="00AD0488" w:rsidTr="00AD0488">
        <w:trPr>
          <w:jc w:val="center"/>
        </w:trPr>
        <w:tc>
          <w:tcPr>
            <w:tcW w:w="0" w:type="auto"/>
            <w:tcBorders>
              <w:top w:val="dashed" w:sz="6" w:space="0" w:color="CCCCCC"/>
              <w:left w:val="dashed" w:sz="6" w:space="0" w:color="CCCCCC"/>
              <w:bottom w:val="dashed" w:sz="6" w:space="0" w:color="CCCCCC"/>
              <w:right w:val="dashed" w:sz="6" w:space="0" w:color="CCCCCC"/>
            </w:tcBorders>
            <w:shd w:val="clear" w:color="auto" w:fill="E5E5E5"/>
            <w:noWrap/>
            <w:tcMar>
              <w:top w:w="90" w:type="dxa"/>
              <w:left w:w="90" w:type="dxa"/>
              <w:bottom w:w="90" w:type="dxa"/>
              <w:right w:w="90" w:type="dxa"/>
            </w:tcMar>
            <w:vAlign w:val="bottom"/>
            <w:hideMark/>
          </w:tcPr>
          <w:p w:rsidR="00AD0488" w:rsidRPr="00AD0488" w:rsidRDefault="00AD0488" w:rsidP="00AD0488">
            <w:pPr>
              <w:spacing w:after="0" w:line="240" w:lineRule="auto"/>
              <w:jc w:val="center"/>
              <w:rPr>
                <w:rFonts w:ascii="Times New Roman" w:eastAsia="Times New Roman" w:hAnsi="Times New Roman" w:cs="Times New Roman"/>
                <w:color w:val="333333"/>
                <w:sz w:val="18"/>
                <w:szCs w:val="18"/>
                <w:lang w:eastAsia="es-AR"/>
              </w:rPr>
            </w:pPr>
            <w:r w:rsidRPr="00AD0488">
              <w:rPr>
                <w:rFonts w:ascii="Times New Roman" w:eastAsia="Times New Roman" w:hAnsi="Times New Roman" w:cs="Times New Roman"/>
                <w:b/>
                <w:bCs/>
                <w:color w:val="333333"/>
                <w:sz w:val="18"/>
                <w:szCs w:val="18"/>
                <w:bdr w:val="none" w:sz="0" w:space="0" w:color="auto" w:frame="1"/>
                <w:lang w:eastAsia="es-AR"/>
              </w:rPr>
              <w:t>Duración</w:t>
            </w:r>
          </w:p>
        </w:tc>
        <w:tc>
          <w:tcPr>
            <w:tcW w:w="0" w:type="auto"/>
            <w:tcBorders>
              <w:top w:val="dashed" w:sz="6" w:space="0" w:color="CCCCCC"/>
              <w:left w:val="dashed" w:sz="6" w:space="0" w:color="CCCCCC"/>
              <w:bottom w:val="dashed" w:sz="6" w:space="0" w:color="CCCCCC"/>
              <w:right w:val="dashed" w:sz="6" w:space="0" w:color="CCCCCC"/>
            </w:tcBorders>
            <w:shd w:val="clear" w:color="auto" w:fill="F7F7F7"/>
            <w:noWrap/>
            <w:tcMar>
              <w:top w:w="90" w:type="dxa"/>
              <w:left w:w="90" w:type="dxa"/>
              <w:bottom w:w="90" w:type="dxa"/>
              <w:right w:w="90" w:type="dxa"/>
            </w:tcMar>
            <w:vAlign w:val="bottom"/>
            <w:hideMark/>
          </w:tcPr>
          <w:p w:rsidR="00AD0488" w:rsidRPr="00AD0488" w:rsidRDefault="00AD0488" w:rsidP="00AD0488">
            <w:pPr>
              <w:spacing w:after="0" w:line="240" w:lineRule="auto"/>
              <w:jc w:val="center"/>
              <w:rPr>
                <w:rFonts w:ascii="Times New Roman" w:eastAsia="Times New Roman" w:hAnsi="Times New Roman" w:cs="Times New Roman"/>
                <w:color w:val="333333"/>
                <w:sz w:val="18"/>
                <w:szCs w:val="18"/>
                <w:lang w:eastAsia="es-AR"/>
              </w:rPr>
            </w:pPr>
            <w:r w:rsidRPr="00AD0488">
              <w:rPr>
                <w:rFonts w:ascii="Times New Roman" w:eastAsia="Times New Roman" w:hAnsi="Times New Roman" w:cs="Times New Roman"/>
                <w:color w:val="333333"/>
                <w:sz w:val="18"/>
                <w:szCs w:val="18"/>
                <w:lang w:eastAsia="es-AR"/>
              </w:rPr>
              <w:t>Breve (semanas)</w:t>
            </w:r>
          </w:p>
        </w:tc>
        <w:tc>
          <w:tcPr>
            <w:tcW w:w="0" w:type="auto"/>
            <w:tcBorders>
              <w:top w:val="dashed" w:sz="6" w:space="0" w:color="CCCCCC"/>
              <w:left w:val="dashed" w:sz="6" w:space="0" w:color="CCCCCC"/>
              <w:bottom w:val="dashed" w:sz="6" w:space="0" w:color="CCCCCC"/>
              <w:right w:val="dashed" w:sz="6" w:space="0" w:color="CCCCCC"/>
            </w:tcBorders>
            <w:shd w:val="clear" w:color="auto" w:fill="F7F7F7"/>
            <w:noWrap/>
            <w:tcMar>
              <w:top w:w="90" w:type="dxa"/>
              <w:left w:w="90" w:type="dxa"/>
              <w:bottom w:w="90" w:type="dxa"/>
              <w:right w:w="90" w:type="dxa"/>
            </w:tcMar>
            <w:vAlign w:val="bottom"/>
            <w:hideMark/>
          </w:tcPr>
          <w:p w:rsidR="00AD0488" w:rsidRPr="00AD0488" w:rsidRDefault="00AD0488" w:rsidP="00AD0488">
            <w:pPr>
              <w:spacing w:after="0" w:line="240" w:lineRule="auto"/>
              <w:jc w:val="center"/>
              <w:rPr>
                <w:rFonts w:ascii="Times New Roman" w:eastAsia="Times New Roman" w:hAnsi="Times New Roman" w:cs="Times New Roman"/>
                <w:color w:val="333333"/>
                <w:sz w:val="18"/>
                <w:szCs w:val="18"/>
                <w:lang w:eastAsia="es-AR"/>
              </w:rPr>
            </w:pPr>
            <w:r w:rsidRPr="00AD0488">
              <w:rPr>
                <w:rFonts w:ascii="Times New Roman" w:eastAsia="Times New Roman" w:hAnsi="Times New Roman" w:cs="Times New Roman"/>
                <w:color w:val="333333"/>
                <w:sz w:val="18"/>
                <w:szCs w:val="18"/>
                <w:lang w:eastAsia="es-AR"/>
              </w:rPr>
              <w:t>Prolongada (meses o años)</w:t>
            </w:r>
          </w:p>
        </w:tc>
      </w:tr>
      <w:tr w:rsidR="00AD0488" w:rsidRPr="00AD0488" w:rsidTr="00AD0488">
        <w:trPr>
          <w:jc w:val="center"/>
        </w:trPr>
        <w:tc>
          <w:tcPr>
            <w:tcW w:w="0" w:type="auto"/>
            <w:tcBorders>
              <w:top w:val="dashed" w:sz="6" w:space="0" w:color="CCCCCC"/>
              <w:left w:val="dashed" w:sz="6" w:space="0" w:color="CCCCCC"/>
              <w:bottom w:val="dashed" w:sz="6" w:space="0" w:color="CCCCCC"/>
              <w:right w:val="dashed" w:sz="6" w:space="0" w:color="CCCCCC"/>
            </w:tcBorders>
            <w:shd w:val="clear" w:color="auto" w:fill="E5E5E5"/>
            <w:noWrap/>
            <w:tcMar>
              <w:top w:w="90" w:type="dxa"/>
              <w:left w:w="90" w:type="dxa"/>
              <w:bottom w:w="90" w:type="dxa"/>
              <w:right w:w="90" w:type="dxa"/>
            </w:tcMar>
            <w:vAlign w:val="bottom"/>
            <w:hideMark/>
          </w:tcPr>
          <w:p w:rsidR="00AD0488" w:rsidRPr="00AD0488" w:rsidRDefault="00AD0488" w:rsidP="00AD0488">
            <w:pPr>
              <w:spacing w:after="0" w:line="240" w:lineRule="auto"/>
              <w:jc w:val="center"/>
              <w:rPr>
                <w:rFonts w:ascii="Times New Roman" w:eastAsia="Times New Roman" w:hAnsi="Times New Roman" w:cs="Times New Roman"/>
                <w:color w:val="333333"/>
                <w:sz w:val="18"/>
                <w:szCs w:val="18"/>
                <w:lang w:eastAsia="es-AR"/>
              </w:rPr>
            </w:pPr>
            <w:r w:rsidRPr="00AD0488">
              <w:rPr>
                <w:rFonts w:ascii="Times New Roman" w:eastAsia="Times New Roman" w:hAnsi="Times New Roman" w:cs="Times New Roman"/>
                <w:b/>
                <w:bCs/>
                <w:color w:val="333333"/>
                <w:sz w:val="18"/>
                <w:szCs w:val="18"/>
                <w:bdr w:val="none" w:sz="0" w:space="0" w:color="auto" w:frame="1"/>
                <w:lang w:eastAsia="es-AR"/>
              </w:rPr>
              <w:t>Estado de ánimo</w:t>
            </w:r>
          </w:p>
        </w:tc>
        <w:tc>
          <w:tcPr>
            <w:tcW w:w="0" w:type="auto"/>
            <w:tcBorders>
              <w:top w:val="dashed" w:sz="6" w:space="0" w:color="CCCCCC"/>
              <w:left w:val="dashed" w:sz="6" w:space="0" w:color="CCCCCC"/>
              <w:bottom w:val="dashed" w:sz="6" w:space="0" w:color="CCCCCC"/>
              <w:right w:val="dashed" w:sz="6" w:space="0" w:color="CCCCCC"/>
            </w:tcBorders>
            <w:shd w:val="clear" w:color="auto" w:fill="F7F7F7"/>
            <w:noWrap/>
            <w:tcMar>
              <w:top w:w="90" w:type="dxa"/>
              <w:left w:w="90" w:type="dxa"/>
              <w:bottom w:w="90" w:type="dxa"/>
              <w:right w:w="90" w:type="dxa"/>
            </w:tcMar>
            <w:vAlign w:val="bottom"/>
            <w:hideMark/>
          </w:tcPr>
          <w:p w:rsidR="00AD0488" w:rsidRPr="00AD0488" w:rsidRDefault="00AD0488" w:rsidP="00AD0488">
            <w:pPr>
              <w:spacing w:after="0" w:line="240" w:lineRule="auto"/>
              <w:jc w:val="center"/>
              <w:rPr>
                <w:rFonts w:ascii="Times New Roman" w:eastAsia="Times New Roman" w:hAnsi="Times New Roman" w:cs="Times New Roman"/>
                <w:color w:val="333333"/>
                <w:sz w:val="18"/>
                <w:szCs w:val="18"/>
                <w:lang w:eastAsia="es-AR"/>
              </w:rPr>
            </w:pPr>
            <w:r w:rsidRPr="00AD0488">
              <w:rPr>
                <w:rFonts w:ascii="Times New Roman" w:eastAsia="Times New Roman" w:hAnsi="Times New Roman" w:cs="Times New Roman"/>
                <w:color w:val="333333"/>
                <w:sz w:val="18"/>
                <w:szCs w:val="18"/>
                <w:lang w:eastAsia="es-AR"/>
              </w:rPr>
              <w:t>Deprimido</w:t>
            </w:r>
          </w:p>
        </w:tc>
        <w:tc>
          <w:tcPr>
            <w:tcW w:w="0" w:type="auto"/>
            <w:tcBorders>
              <w:top w:val="dashed" w:sz="6" w:space="0" w:color="CCCCCC"/>
              <w:left w:val="dashed" w:sz="6" w:space="0" w:color="CCCCCC"/>
              <w:bottom w:val="dashed" w:sz="6" w:space="0" w:color="CCCCCC"/>
              <w:right w:val="dashed" w:sz="6" w:space="0" w:color="CCCCCC"/>
            </w:tcBorders>
            <w:shd w:val="clear" w:color="auto" w:fill="F7F7F7"/>
            <w:noWrap/>
            <w:tcMar>
              <w:top w:w="90" w:type="dxa"/>
              <w:left w:w="90" w:type="dxa"/>
              <w:bottom w:w="90" w:type="dxa"/>
              <w:right w:w="90" w:type="dxa"/>
            </w:tcMar>
            <w:vAlign w:val="bottom"/>
            <w:hideMark/>
          </w:tcPr>
          <w:p w:rsidR="00AD0488" w:rsidRPr="00AD0488" w:rsidRDefault="00AD0488" w:rsidP="00AD0488">
            <w:pPr>
              <w:spacing w:after="0" w:line="240" w:lineRule="auto"/>
              <w:jc w:val="center"/>
              <w:rPr>
                <w:rFonts w:ascii="Times New Roman" w:eastAsia="Times New Roman" w:hAnsi="Times New Roman" w:cs="Times New Roman"/>
                <w:color w:val="333333"/>
                <w:sz w:val="18"/>
                <w:szCs w:val="18"/>
                <w:lang w:eastAsia="es-AR"/>
              </w:rPr>
            </w:pPr>
            <w:r w:rsidRPr="00AD0488">
              <w:rPr>
                <w:rFonts w:ascii="Times New Roman" w:eastAsia="Times New Roman" w:hAnsi="Times New Roman" w:cs="Times New Roman"/>
                <w:color w:val="333333"/>
                <w:sz w:val="18"/>
                <w:szCs w:val="18"/>
                <w:lang w:eastAsia="es-AR"/>
              </w:rPr>
              <w:t>Fluctuante (apatía, normalidad, irritabilidad)</w:t>
            </w:r>
          </w:p>
        </w:tc>
      </w:tr>
      <w:tr w:rsidR="00AD0488" w:rsidRPr="00AD0488" w:rsidTr="00AD0488">
        <w:trPr>
          <w:jc w:val="center"/>
        </w:trPr>
        <w:tc>
          <w:tcPr>
            <w:tcW w:w="0" w:type="auto"/>
            <w:tcBorders>
              <w:top w:val="dashed" w:sz="6" w:space="0" w:color="CCCCCC"/>
              <w:left w:val="dashed" w:sz="6" w:space="0" w:color="CCCCCC"/>
              <w:bottom w:val="dashed" w:sz="6" w:space="0" w:color="CCCCCC"/>
              <w:right w:val="dashed" w:sz="6" w:space="0" w:color="CCCCCC"/>
            </w:tcBorders>
            <w:shd w:val="clear" w:color="auto" w:fill="E5E5E5"/>
            <w:noWrap/>
            <w:tcMar>
              <w:top w:w="90" w:type="dxa"/>
              <w:left w:w="90" w:type="dxa"/>
              <w:bottom w:w="90" w:type="dxa"/>
              <w:right w:w="90" w:type="dxa"/>
            </w:tcMar>
            <w:vAlign w:val="bottom"/>
            <w:hideMark/>
          </w:tcPr>
          <w:p w:rsidR="00AD0488" w:rsidRPr="00AD0488" w:rsidRDefault="00AD0488" w:rsidP="00AD0488">
            <w:pPr>
              <w:spacing w:after="0" w:line="240" w:lineRule="auto"/>
              <w:jc w:val="center"/>
              <w:rPr>
                <w:rFonts w:ascii="Times New Roman" w:eastAsia="Times New Roman" w:hAnsi="Times New Roman" w:cs="Times New Roman"/>
                <w:color w:val="333333"/>
                <w:sz w:val="18"/>
                <w:szCs w:val="18"/>
                <w:lang w:eastAsia="es-AR"/>
              </w:rPr>
            </w:pPr>
            <w:r w:rsidRPr="00AD0488">
              <w:rPr>
                <w:rFonts w:ascii="Times New Roman" w:eastAsia="Times New Roman" w:hAnsi="Times New Roman" w:cs="Times New Roman"/>
                <w:b/>
                <w:bCs/>
                <w:color w:val="333333"/>
                <w:sz w:val="18"/>
                <w:szCs w:val="18"/>
                <w:bdr w:val="none" w:sz="0" w:space="0" w:color="auto" w:frame="1"/>
                <w:lang w:eastAsia="es-AR"/>
              </w:rPr>
              <w:t>Respuestas</w:t>
            </w:r>
          </w:p>
        </w:tc>
        <w:tc>
          <w:tcPr>
            <w:tcW w:w="0" w:type="auto"/>
            <w:tcBorders>
              <w:top w:val="dashed" w:sz="6" w:space="0" w:color="CCCCCC"/>
              <w:left w:val="dashed" w:sz="6" w:space="0" w:color="CCCCCC"/>
              <w:bottom w:val="dashed" w:sz="6" w:space="0" w:color="CCCCCC"/>
              <w:right w:val="dashed" w:sz="6" w:space="0" w:color="CCCCCC"/>
            </w:tcBorders>
            <w:shd w:val="clear" w:color="auto" w:fill="F7F7F7"/>
            <w:noWrap/>
            <w:tcMar>
              <w:top w:w="90" w:type="dxa"/>
              <w:left w:w="90" w:type="dxa"/>
              <w:bottom w:w="90" w:type="dxa"/>
              <w:right w:w="90" w:type="dxa"/>
            </w:tcMar>
            <w:vAlign w:val="bottom"/>
            <w:hideMark/>
          </w:tcPr>
          <w:p w:rsidR="00AD0488" w:rsidRPr="00AD0488" w:rsidRDefault="00AD0488" w:rsidP="00AD0488">
            <w:pPr>
              <w:spacing w:after="0" w:line="240" w:lineRule="auto"/>
              <w:jc w:val="center"/>
              <w:rPr>
                <w:rFonts w:ascii="Times New Roman" w:eastAsia="Times New Roman" w:hAnsi="Times New Roman" w:cs="Times New Roman"/>
                <w:color w:val="333333"/>
                <w:sz w:val="18"/>
                <w:szCs w:val="18"/>
                <w:lang w:eastAsia="es-AR"/>
              </w:rPr>
            </w:pPr>
            <w:r w:rsidRPr="00AD0488">
              <w:rPr>
                <w:rFonts w:ascii="Times New Roman" w:eastAsia="Times New Roman" w:hAnsi="Times New Roman" w:cs="Times New Roman"/>
                <w:color w:val="333333"/>
                <w:sz w:val="18"/>
                <w:szCs w:val="18"/>
                <w:lang w:eastAsia="es-AR"/>
              </w:rPr>
              <w:t>"No sé"</w:t>
            </w:r>
            <w:r w:rsidRPr="00AD0488">
              <w:rPr>
                <w:rFonts w:ascii="Times New Roman" w:eastAsia="Times New Roman" w:hAnsi="Times New Roman" w:cs="Times New Roman"/>
                <w:color w:val="333333"/>
                <w:sz w:val="18"/>
                <w:szCs w:val="18"/>
                <w:lang w:eastAsia="es-AR"/>
              </w:rPr>
              <w:br/>
              <w:t>Muchas quejas</w:t>
            </w:r>
          </w:p>
        </w:tc>
        <w:tc>
          <w:tcPr>
            <w:tcW w:w="0" w:type="auto"/>
            <w:tcBorders>
              <w:top w:val="dashed" w:sz="6" w:space="0" w:color="CCCCCC"/>
              <w:left w:val="dashed" w:sz="6" w:space="0" w:color="CCCCCC"/>
              <w:bottom w:val="dashed" w:sz="6" w:space="0" w:color="CCCCCC"/>
              <w:right w:val="dashed" w:sz="6" w:space="0" w:color="CCCCCC"/>
            </w:tcBorders>
            <w:shd w:val="clear" w:color="auto" w:fill="F7F7F7"/>
            <w:noWrap/>
            <w:tcMar>
              <w:top w:w="90" w:type="dxa"/>
              <w:left w:w="90" w:type="dxa"/>
              <w:bottom w:w="90" w:type="dxa"/>
              <w:right w:w="90" w:type="dxa"/>
            </w:tcMar>
            <w:vAlign w:val="bottom"/>
            <w:hideMark/>
          </w:tcPr>
          <w:p w:rsidR="00AD0488" w:rsidRPr="00AD0488" w:rsidRDefault="00AD0488" w:rsidP="00AD0488">
            <w:pPr>
              <w:spacing w:after="0" w:line="240" w:lineRule="auto"/>
              <w:jc w:val="center"/>
              <w:rPr>
                <w:rFonts w:ascii="Times New Roman" w:eastAsia="Times New Roman" w:hAnsi="Times New Roman" w:cs="Times New Roman"/>
                <w:color w:val="333333"/>
                <w:sz w:val="18"/>
                <w:szCs w:val="18"/>
                <w:lang w:eastAsia="es-AR"/>
              </w:rPr>
            </w:pPr>
            <w:r w:rsidRPr="00AD0488">
              <w:rPr>
                <w:rFonts w:ascii="Times New Roman" w:eastAsia="Times New Roman" w:hAnsi="Times New Roman" w:cs="Times New Roman"/>
                <w:color w:val="333333"/>
                <w:sz w:val="18"/>
                <w:szCs w:val="18"/>
                <w:lang w:eastAsia="es-AR"/>
              </w:rPr>
              <w:t>Quita importancia o racionaliza errores u olvidos</w:t>
            </w:r>
          </w:p>
        </w:tc>
      </w:tr>
      <w:tr w:rsidR="00AD0488" w:rsidRPr="00AD0488" w:rsidTr="00AD0488">
        <w:trPr>
          <w:jc w:val="center"/>
        </w:trPr>
        <w:tc>
          <w:tcPr>
            <w:tcW w:w="0" w:type="auto"/>
            <w:tcBorders>
              <w:top w:val="dashed" w:sz="6" w:space="0" w:color="CCCCCC"/>
              <w:left w:val="dashed" w:sz="6" w:space="0" w:color="CCCCCC"/>
              <w:bottom w:val="dashed" w:sz="6" w:space="0" w:color="CCCCCC"/>
              <w:right w:val="dashed" w:sz="6" w:space="0" w:color="CCCCCC"/>
            </w:tcBorders>
            <w:shd w:val="clear" w:color="auto" w:fill="E5E5E5"/>
            <w:noWrap/>
            <w:tcMar>
              <w:top w:w="90" w:type="dxa"/>
              <w:left w:w="90" w:type="dxa"/>
              <w:bottom w:w="90" w:type="dxa"/>
              <w:right w:w="90" w:type="dxa"/>
            </w:tcMar>
            <w:vAlign w:val="bottom"/>
            <w:hideMark/>
          </w:tcPr>
          <w:p w:rsidR="00AD0488" w:rsidRPr="00AD0488" w:rsidRDefault="00AD0488" w:rsidP="00AD0488">
            <w:pPr>
              <w:spacing w:after="0" w:line="240" w:lineRule="auto"/>
              <w:jc w:val="center"/>
              <w:rPr>
                <w:rFonts w:ascii="Times New Roman" w:eastAsia="Times New Roman" w:hAnsi="Times New Roman" w:cs="Times New Roman"/>
                <w:color w:val="333333"/>
                <w:sz w:val="18"/>
                <w:szCs w:val="18"/>
                <w:lang w:eastAsia="es-AR"/>
              </w:rPr>
            </w:pPr>
            <w:r w:rsidRPr="00AD0488">
              <w:rPr>
                <w:rFonts w:ascii="Times New Roman" w:eastAsia="Times New Roman" w:hAnsi="Times New Roman" w:cs="Times New Roman"/>
                <w:b/>
                <w:bCs/>
                <w:color w:val="333333"/>
                <w:sz w:val="18"/>
                <w:szCs w:val="18"/>
                <w:bdr w:val="none" w:sz="0" w:space="0" w:color="auto" w:frame="1"/>
                <w:lang w:eastAsia="es-AR"/>
              </w:rPr>
              <w:t>Amnesia</w:t>
            </w:r>
          </w:p>
        </w:tc>
        <w:tc>
          <w:tcPr>
            <w:tcW w:w="0" w:type="auto"/>
            <w:tcBorders>
              <w:top w:val="dashed" w:sz="6" w:space="0" w:color="CCCCCC"/>
              <w:left w:val="dashed" w:sz="6" w:space="0" w:color="CCCCCC"/>
              <w:bottom w:val="dashed" w:sz="6" w:space="0" w:color="CCCCCC"/>
              <w:right w:val="dashed" w:sz="6" w:space="0" w:color="CCCCCC"/>
            </w:tcBorders>
            <w:shd w:val="clear" w:color="auto" w:fill="F7F7F7"/>
            <w:noWrap/>
            <w:tcMar>
              <w:top w:w="90" w:type="dxa"/>
              <w:left w:w="90" w:type="dxa"/>
              <w:bottom w:w="90" w:type="dxa"/>
              <w:right w:w="90" w:type="dxa"/>
            </w:tcMar>
            <w:vAlign w:val="bottom"/>
            <w:hideMark/>
          </w:tcPr>
          <w:p w:rsidR="00AD0488" w:rsidRPr="00AD0488" w:rsidRDefault="00AD0488" w:rsidP="00AD0488">
            <w:pPr>
              <w:spacing w:after="0" w:line="240" w:lineRule="auto"/>
              <w:jc w:val="center"/>
              <w:rPr>
                <w:rFonts w:ascii="Times New Roman" w:eastAsia="Times New Roman" w:hAnsi="Times New Roman" w:cs="Times New Roman"/>
                <w:color w:val="333333"/>
                <w:sz w:val="18"/>
                <w:szCs w:val="18"/>
                <w:lang w:eastAsia="es-AR"/>
              </w:rPr>
            </w:pPr>
            <w:r w:rsidRPr="00AD0488">
              <w:rPr>
                <w:rFonts w:ascii="Times New Roman" w:eastAsia="Times New Roman" w:hAnsi="Times New Roman" w:cs="Times New Roman"/>
                <w:color w:val="333333"/>
                <w:sz w:val="18"/>
                <w:szCs w:val="18"/>
                <w:lang w:eastAsia="es-AR"/>
              </w:rPr>
              <w:t>Global</w:t>
            </w:r>
          </w:p>
        </w:tc>
        <w:tc>
          <w:tcPr>
            <w:tcW w:w="0" w:type="auto"/>
            <w:tcBorders>
              <w:top w:val="dashed" w:sz="6" w:space="0" w:color="CCCCCC"/>
              <w:left w:val="dashed" w:sz="6" w:space="0" w:color="CCCCCC"/>
              <w:bottom w:val="dashed" w:sz="6" w:space="0" w:color="CCCCCC"/>
              <w:right w:val="dashed" w:sz="6" w:space="0" w:color="CCCCCC"/>
            </w:tcBorders>
            <w:shd w:val="clear" w:color="auto" w:fill="F7F7F7"/>
            <w:noWrap/>
            <w:tcMar>
              <w:top w:w="90" w:type="dxa"/>
              <w:left w:w="90" w:type="dxa"/>
              <w:bottom w:w="90" w:type="dxa"/>
              <w:right w:w="90" w:type="dxa"/>
            </w:tcMar>
            <w:vAlign w:val="bottom"/>
            <w:hideMark/>
          </w:tcPr>
          <w:p w:rsidR="00AD0488" w:rsidRPr="00AD0488" w:rsidRDefault="00AD0488" w:rsidP="00AD0488">
            <w:pPr>
              <w:spacing w:after="0" w:line="240" w:lineRule="auto"/>
              <w:jc w:val="center"/>
              <w:rPr>
                <w:rFonts w:ascii="Times New Roman" w:eastAsia="Times New Roman" w:hAnsi="Times New Roman" w:cs="Times New Roman"/>
                <w:color w:val="333333"/>
                <w:sz w:val="18"/>
                <w:szCs w:val="18"/>
                <w:lang w:eastAsia="es-AR"/>
              </w:rPr>
            </w:pPr>
            <w:r w:rsidRPr="00AD0488">
              <w:rPr>
                <w:rFonts w:ascii="Times New Roman" w:eastAsia="Times New Roman" w:hAnsi="Times New Roman" w:cs="Times New Roman"/>
                <w:color w:val="333333"/>
                <w:sz w:val="18"/>
                <w:szCs w:val="18"/>
                <w:lang w:eastAsia="es-AR"/>
              </w:rPr>
              <w:t>Máxima para acontecimientos recientes</w:t>
            </w:r>
          </w:p>
        </w:tc>
      </w:tr>
      <w:tr w:rsidR="00AD0488" w:rsidRPr="00AD0488" w:rsidTr="00AD0488">
        <w:trPr>
          <w:jc w:val="center"/>
        </w:trPr>
        <w:tc>
          <w:tcPr>
            <w:tcW w:w="0" w:type="auto"/>
            <w:tcBorders>
              <w:top w:val="dashed" w:sz="6" w:space="0" w:color="CCCCCC"/>
              <w:left w:val="dashed" w:sz="6" w:space="0" w:color="CCCCCC"/>
              <w:bottom w:val="dashed" w:sz="6" w:space="0" w:color="CCCCCC"/>
              <w:right w:val="dashed" w:sz="6" w:space="0" w:color="CCCCCC"/>
            </w:tcBorders>
            <w:shd w:val="clear" w:color="auto" w:fill="E5E5E5"/>
            <w:noWrap/>
            <w:tcMar>
              <w:top w:w="90" w:type="dxa"/>
              <w:left w:w="90" w:type="dxa"/>
              <w:bottom w:w="90" w:type="dxa"/>
              <w:right w:w="90" w:type="dxa"/>
            </w:tcMar>
            <w:vAlign w:val="bottom"/>
            <w:hideMark/>
          </w:tcPr>
          <w:p w:rsidR="00AD0488" w:rsidRPr="00AD0488" w:rsidRDefault="00AD0488" w:rsidP="00AD0488">
            <w:pPr>
              <w:spacing w:after="0" w:line="240" w:lineRule="auto"/>
              <w:jc w:val="center"/>
              <w:rPr>
                <w:rFonts w:ascii="Times New Roman" w:eastAsia="Times New Roman" w:hAnsi="Times New Roman" w:cs="Times New Roman"/>
                <w:color w:val="333333"/>
                <w:sz w:val="18"/>
                <w:szCs w:val="18"/>
                <w:lang w:eastAsia="es-AR"/>
              </w:rPr>
            </w:pPr>
            <w:r w:rsidRPr="00AD0488">
              <w:rPr>
                <w:rFonts w:ascii="Times New Roman" w:eastAsia="Times New Roman" w:hAnsi="Times New Roman" w:cs="Times New Roman"/>
                <w:b/>
                <w:bCs/>
                <w:color w:val="333333"/>
                <w:sz w:val="18"/>
                <w:szCs w:val="18"/>
                <w:bdr w:val="none" w:sz="0" w:space="0" w:color="auto" w:frame="1"/>
                <w:lang w:eastAsia="es-AR"/>
              </w:rPr>
              <w:t>Autoimagen</w:t>
            </w:r>
          </w:p>
        </w:tc>
        <w:tc>
          <w:tcPr>
            <w:tcW w:w="0" w:type="auto"/>
            <w:tcBorders>
              <w:top w:val="dashed" w:sz="6" w:space="0" w:color="CCCCCC"/>
              <w:left w:val="dashed" w:sz="6" w:space="0" w:color="CCCCCC"/>
              <w:bottom w:val="dashed" w:sz="6" w:space="0" w:color="CCCCCC"/>
              <w:right w:val="dashed" w:sz="6" w:space="0" w:color="CCCCCC"/>
            </w:tcBorders>
            <w:shd w:val="clear" w:color="auto" w:fill="F7F7F7"/>
            <w:noWrap/>
            <w:tcMar>
              <w:top w:w="90" w:type="dxa"/>
              <w:left w:w="90" w:type="dxa"/>
              <w:bottom w:w="90" w:type="dxa"/>
              <w:right w:w="90" w:type="dxa"/>
            </w:tcMar>
            <w:vAlign w:val="bottom"/>
            <w:hideMark/>
          </w:tcPr>
          <w:p w:rsidR="00AD0488" w:rsidRPr="00AD0488" w:rsidRDefault="00AD0488" w:rsidP="00AD0488">
            <w:pPr>
              <w:spacing w:after="0" w:line="240" w:lineRule="auto"/>
              <w:jc w:val="center"/>
              <w:rPr>
                <w:rFonts w:ascii="Times New Roman" w:eastAsia="Times New Roman" w:hAnsi="Times New Roman" w:cs="Times New Roman"/>
                <w:color w:val="333333"/>
                <w:sz w:val="18"/>
                <w:szCs w:val="18"/>
                <w:lang w:eastAsia="es-AR"/>
              </w:rPr>
            </w:pPr>
            <w:r w:rsidRPr="00AD0488">
              <w:rPr>
                <w:rFonts w:ascii="Times New Roman" w:eastAsia="Times New Roman" w:hAnsi="Times New Roman" w:cs="Times New Roman"/>
                <w:color w:val="333333"/>
                <w:sz w:val="18"/>
                <w:szCs w:val="18"/>
                <w:lang w:eastAsia="es-AR"/>
              </w:rPr>
              <w:t>Mala</w:t>
            </w:r>
          </w:p>
        </w:tc>
        <w:tc>
          <w:tcPr>
            <w:tcW w:w="0" w:type="auto"/>
            <w:tcBorders>
              <w:top w:val="dashed" w:sz="6" w:space="0" w:color="CCCCCC"/>
              <w:left w:val="dashed" w:sz="6" w:space="0" w:color="CCCCCC"/>
              <w:bottom w:val="dashed" w:sz="6" w:space="0" w:color="CCCCCC"/>
              <w:right w:val="dashed" w:sz="6" w:space="0" w:color="CCCCCC"/>
            </w:tcBorders>
            <w:shd w:val="clear" w:color="auto" w:fill="F7F7F7"/>
            <w:noWrap/>
            <w:tcMar>
              <w:top w:w="90" w:type="dxa"/>
              <w:left w:w="90" w:type="dxa"/>
              <w:bottom w:w="90" w:type="dxa"/>
              <w:right w:w="90" w:type="dxa"/>
            </w:tcMar>
            <w:vAlign w:val="bottom"/>
            <w:hideMark/>
          </w:tcPr>
          <w:p w:rsidR="00AD0488" w:rsidRPr="00AD0488" w:rsidRDefault="00AD0488" w:rsidP="00AD0488">
            <w:pPr>
              <w:spacing w:after="0" w:line="240" w:lineRule="auto"/>
              <w:jc w:val="center"/>
              <w:rPr>
                <w:rFonts w:ascii="Times New Roman" w:eastAsia="Times New Roman" w:hAnsi="Times New Roman" w:cs="Times New Roman"/>
                <w:color w:val="333333"/>
                <w:sz w:val="18"/>
                <w:szCs w:val="18"/>
                <w:lang w:eastAsia="es-AR"/>
              </w:rPr>
            </w:pPr>
            <w:r w:rsidRPr="00AD0488">
              <w:rPr>
                <w:rFonts w:ascii="Times New Roman" w:eastAsia="Times New Roman" w:hAnsi="Times New Roman" w:cs="Times New Roman"/>
                <w:color w:val="333333"/>
                <w:sz w:val="18"/>
                <w:szCs w:val="18"/>
                <w:lang w:eastAsia="es-AR"/>
              </w:rPr>
              <w:t>Normal</w:t>
            </w:r>
          </w:p>
        </w:tc>
      </w:tr>
      <w:tr w:rsidR="00AD0488" w:rsidRPr="00AD0488" w:rsidTr="00AD0488">
        <w:trPr>
          <w:jc w:val="center"/>
        </w:trPr>
        <w:tc>
          <w:tcPr>
            <w:tcW w:w="0" w:type="auto"/>
            <w:tcBorders>
              <w:top w:val="dashed" w:sz="6" w:space="0" w:color="CCCCCC"/>
              <w:left w:val="dashed" w:sz="6" w:space="0" w:color="CCCCCC"/>
              <w:bottom w:val="dashed" w:sz="6" w:space="0" w:color="CCCCCC"/>
              <w:right w:val="dashed" w:sz="6" w:space="0" w:color="CCCCCC"/>
            </w:tcBorders>
            <w:shd w:val="clear" w:color="auto" w:fill="E5E5E5"/>
            <w:noWrap/>
            <w:tcMar>
              <w:top w:w="90" w:type="dxa"/>
              <w:left w:w="90" w:type="dxa"/>
              <w:bottom w:w="90" w:type="dxa"/>
              <w:right w:w="90" w:type="dxa"/>
            </w:tcMar>
            <w:vAlign w:val="bottom"/>
            <w:hideMark/>
          </w:tcPr>
          <w:p w:rsidR="00AD0488" w:rsidRPr="00AD0488" w:rsidRDefault="00AD0488" w:rsidP="00AD0488">
            <w:pPr>
              <w:spacing w:after="0" w:line="240" w:lineRule="auto"/>
              <w:jc w:val="center"/>
              <w:rPr>
                <w:rFonts w:ascii="Times New Roman" w:eastAsia="Times New Roman" w:hAnsi="Times New Roman" w:cs="Times New Roman"/>
                <w:color w:val="333333"/>
                <w:sz w:val="18"/>
                <w:szCs w:val="18"/>
                <w:lang w:eastAsia="es-AR"/>
              </w:rPr>
            </w:pPr>
            <w:r w:rsidRPr="00AD0488">
              <w:rPr>
                <w:rFonts w:ascii="Times New Roman" w:eastAsia="Times New Roman" w:hAnsi="Times New Roman" w:cs="Times New Roman"/>
                <w:b/>
                <w:bCs/>
                <w:color w:val="333333"/>
                <w:sz w:val="18"/>
                <w:szCs w:val="18"/>
                <w:bdr w:val="none" w:sz="0" w:space="0" w:color="auto" w:frame="1"/>
                <w:lang w:eastAsia="es-AR"/>
              </w:rPr>
              <w:t>Síntomas asociados</w:t>
            </w:r>
          </w:p>
        </w:tc>
        <w:tc>
          <w:tcPr>
            <w:tcW w:w="0" w:type="auto"/>
            <w:tcBorders>
              <w:top w:val="dashed" w:sz="6" w:space="0" w:color="CCCCCC"/>
              <w:left w:val="dashed" w:sz="6" w:space="0" w:color="CCCCCC"/>
              <w:bottom w:val="dashed" w:sz="6" w:space="0" w:color="CCCCCC"/>
              <w:right w:val="dashed" w:sz="6" w:space="0" w:color="CCCCCC"/>
            </w:tcBorders>
            <w:shd w:val="clear" w:color="auto" w:fill="F7F7F7"/>
            <w:noWrap/>
            <w:tcMar>
              <w:top w:w="90" w:type="dxa"/>
              <w:left w:w="90" w:type="dxa"/>
              <w:bottom w:w="90" w:type="dxa"/>
              <w:right w:w="90" w:type="dxa"/>
            </w:tcMar>
            <w:vAlign w:val="bottom"/>
            <w:hideMark/>
          </w:tcPr>
          <w:p w:rsidR="00AD0488" w:rsidRPr="00AD0488" w:rsidRDefault="00AD0488" w:rsidP="00AD0488">
            <w:pPr>
              <w:spacing w:after="0" w:line="240" w:lineRule="auto"/>
              <w:jc w:val="center"/>
              <w:rPr>
                <w:rFonts w:ascii="Times New Roman" w:eastAsia="Times New Roman" w:hAnsi="Times New Roman" w:cs="Times New Roman"/>
                <w:color w:val="333333"/>
                <w:sz w:val="18"/>
                <w:szCs w:val="18"/>
                <w:lang w:eastAsia="es-AR"/>
              </w:rPr>
            </w:pPr>
            <w:r w:rsidRPr="00AD0488">
              <w:rPr>
                <w:rFonts w:ascii="Times New Roman" w:eastAsia="Times New Roman" w:hAnsi="Times New Roman" w:cs="Times New Roman"/>
                <w:color w:val="333333"/>
                <w:sz w:val="18"/>
                <w:szCs w:val="18"/>
                <w:lang w:eastAsia="es-AR"/>
              </w:rPr>
              <w:t>Ansiedad, insomnio, anorexia</w:t>
            </w:r>
          </w:p>
        </w:tc>
        <w:tc>
          <w:tcPr>
            <w:tcW w:w="0" w:type="auto"/>
            <w:tcBorders>
              <w:top w:val="dashed" w:sz="6" w:space="0" w:color="CCCCCC"/>
              <w:left w:val="dashed" w:sz="6" w:space="0" w:color="CCCCCC"/>
              <w:bottom w:val="dashed" w:sz="6" w:space="0" w:color="CCCCCC"/>
              <w:right w:val="dashed" w:sz="6" w:space="0" w:color="CCCCCC"/>
            </w:tcBorders>
            <w:shd w:val="clear" w:color="auto" w:fill="F7F7F7"/>
            <w:noWrap/>
            <w:tcMar>
              <w:top w:w="90" w:type="dxa"/>
              <w:left w:w="90" w:type="dxa"/>
              <w:bottom w:w="90" w:type="dxa"/>
              <w:right w:w="90" w:type="dxa"/>
            </w:tcMar>
            <w:vAlign w:val="bottom"/>
            <w:hideMark/>
          </w:tcPr>
          <w:p w:rsidR="00AD0488" w:rsidRPr="00AD0488" w:rsidRDefault="00AD0488" w:rsidP="00AD0488">
            <w:pPr>
              <w:spacing w:after="0" w:line="240" w:lineRule="auto"/>
              <w:jc w:val="center"/>
              <w:rPr>
                <w:rFonts w:ascii="Times New Roman" w:eastAsia="Times New Roman" w:hAnsi="Times New Roman" w:cs="Times New Roman"/>
                <w:color w:val="333333"/>
                <w:sz w:val="18"/>
                <w:szCs w:val="18"/>
                <w:lang w:eastAsia="es-AR"/>
              </w:rPr>
            </w:pPr>
            <w:r w:rsidRPr="00AD0488">
              <w:rPr>
                <w:rFonts w:ascii="Times New Roman" w:eastAsia="Times New Roman" w:hAnsi="Times New Roman" w:cs="Times New Roman"/>
                <w:color w:val="333333"/>
                <w:sz w:val="18"/>
                <w:szCs w:val="18"/>
                <w:lang w:eastAsia="es-AR"/>
              </w:rPr>
              <w:t>Raros</w:t>
            </w:r>
          </w:p>
        </w:tc>
      </w:tr>
      <w:tr w:rsidR="00AD0488" w:rsidRPr="00AD0488" w:rsidTr="00AD0488">
        <w:trPr>
          <w:jc w:val="center"/>
        </w:trPr>
        <w:tc>
          <w:tcPr>
            <w:tcW w:w="0" w:type="auto"/>
            <w:tcBorders>
              <w:top w:val="dashed" w:sz="6" w:space="0" w:color="CCCCCC"/>
              <w:left w:val="dashed" w:sz="6" w:space="0" w:color="CCCCCC"/>
              <w:bottom w:val="dashed" w:sz="6" w:space="0" w:color="CCCCCC"/>
              <w:right w:val="dashed" w:sz="6" w:space="0" w:color="CCCCCC"/>
            </w:tcBorders>
            <w:shd w:val="clear" w:color="auto" w:fill="E5E5E5"/>
            <w:noWrap/>
            <w:tcMar>
              <w:top w:w="90" w:type="dxa"/>
              <w:left w:w="90" w:type="dxa"/>
              <w:bottom w:w="90" w:type="dxa"/>
              <w:right w:w="90" w:type="dxa"/>
            </w:tcMar>
            <w:vAlign w:val="bottom"/>
            <w:hideMark/>
          </w:tcPr>
          <w:p w:rsidR="00AD0488" w:rsidRPr="00AD0488" w:rsidRDefault="00AD0488" w:rsidP="00AD0488">
            <w:pPr>
              <w:spacing w:after="0" w:line="240" w:lineRule="auto"/>
              <w:jc w:val="center"/>
              <w:rPr>
                <w:rFonts w:ascii="Times New Roman" w:eastAsia="Times New Roman" w:hAnsi="Times New Roman" w:cs="Times New Roman"/>
                <w:color w:val="333333"/>
                <w:sz w:val="18"/>
                <w:szCs w:val="18"/>
                <w:lang w:eastAsia="es-AR"/>
              </w:rPr>
            </w:pPr>
            <w:r w:rsidRPr="00AD0488">
              <w:rPr>
                <w:rFonts w:ascii="Times New Roman" w:eastAsia="Times New Roman" w:hAnsi="Times New Roman" w:cs="Times New Roman"/>
                <w:b/>
                <w:bCs/>
                <w:color w:val="333333"/>
                <w:sz w:val="18"/>
                <w:szCs w:val="18"/>
                <w:bdr w:val="none" w:sz="0" w:space="0" w:color="auto" w:frame="1"/>
                <w:lang w:eastAsia="es-AR"/>
              </w:rPr>
              <w:t>Motivo de consulta</w:t>
            </w:r>
          </w:p>
        </w:tc>
        <w:tc>
          <w:tcPr>
            <w:tcW w:w="0" w:type="auto"/>
            <w:tcBorders>
              <w:top w:val="dashed" w:sz="6" w:space="0" w:color="CCCCCC"/>
              <w:left w:val="dashed" w:sz="6" w:space="0" w:color="CCCCCC"/>
              <w:bottom w:val="dashed" w:sz="6" w:space="0" w:color="CCCCCC"/>
              <w:right w:val="dashed" w:sz="6" w:space="0" w:color="CCCCCC"/>
            </w:tcBorders>
            <w:shd w:val="clear" w:color="auto" w:fill="F7F7F7"/>
            <w:noWrap/>
            <w:tcMar>
              <w:top w:w="90" w:type="dxa"/>
              <w:left w:w="90" w:type="dxa"/>
              <w:bottom w:w="90" w:type="dxa"/>
              <w:right w:w="90" w:type="dxa"/>
            </w:tcMar>
            <w:vAlign w:val="bottom"/>
            <w:hideMark/>
          </w:tcPr>
          <w:p w:rsidR="00AD0488" w:rsidRPr="00AD0488" w:rsidRDefault="00AD0488" w:rsidP="00AD0488">
            <w:pPr>
              <w:spacing w:after="0" w:line="240" w:lineRule="auto"/>
              <w:jc w:val="center"/>
              <w:rPr>
                <w:rFonts w:ascii="Times New Roman" w:eastAsia="Times New Roman" w:hAnsi="Times New Roman" w:cs="Times New Roman"/>
                <w:color w:val="333333"/>
                <w:sz w:val="18"/>
                <w:szCs w:val="18"/>
                <w:lang w:eastAsia="es-AR"/>
              </w:rPr>
            </w:pPr>
            <w:r w:rsidRPr="00AD0488">
              <w:rPr>
                <w:rFonts w:ascii="Times New Roman" w:eastAsia="Times New Roman" w:hAnsi="Times New Roman" w:cs="Times New Roman"/>
                <w:color w:val="333333"/>
                <w:sz w:val="18"/>
                <w:szCs w:val="18"/>
                <w:lang w:eastAsia="es-AR"/>
              </w:rPr>
              <w:t>Iniciativa propia</w:t>
            </w:r>
          </w:p>
        </w:tc>
        <w:tc>
          <w:tcPr>
            <w:tcW w:w="0" w:type="auto"/>
            <w:tcBorders>
              <w:top w:val="dashed" w:sz="6" w:space="0" w:color="CCCCCC"/>
              <w:left w:val="dashed" w:sz="6" w:space="0" w:color="CCCCCC"/>
              <w:bottom w:val="dashed" w:sz="6" w:space="0" w:color="CCCCCC"/>
              <w:right w:val="dashed" w:sz="6" w:space="0" w:color="CCCCCC"/>
            </w:tcBorders>
            <w:shd w:val="clear" w:color="auto" w:fill="F7F7F7"/>
            <w:noWrap/>
            <w:tcMar>
              <w:top w:w="90" w:type="dxa"/>
              <w:left w:w="90" w:type="dxa"/>
              <w:bottom w:w="90" w:type="dxa"/>
              <w:right w:w="90" w:type="dxa"/>
            </w:tcMar>
            <w:vAlign w:val="bottom"/>
            <w:hideMark/>
          </w:tcPr>
          <w:p w:rsidR="00AD0488" w:rsidRPr="00AD0488" w:rsidRDefault="00AD0488" w:rsidP="00AD0488">
            <w:pPr>
              <w:spacing w:after="0" w:line="240" w:lineRule="auto"/>
              <w:jc w:val="center"/>
              <w:rPr>
                <w:rFonts w:ascii="Times New Roman" w:eastAsia="Times New Roman" w:hAnsi="Times New Roman" w:cs="Times New Roman"/>
                <w:color w:val="333333"/>
                <w:sz w:val="18"/>
                <w:szCs w:val="18"/>
                <w:lang w:eastAsia="es-AR"/>
              </w:rPr>
            </w:pPr>
            <w:r w:rsidRPr="00AD0488">
              <w:rPr>
                <w:rFonts w:ascii="Times New Roman" w:eastAsia="Times New Roman" w:hAnsi="Times New Roman" w:cs="Times New Roman"/>
                <w:color w:val="333333"/>
                <w:sz w:val="18"/>
                <w:szCs w:val="18"/>
                <w:lang w:eastAsia="es-AR"/>
              </w:rPr>
              <w:t>Inducido por la familia o amigos</w:t>
            </w:r>
          </w:p>
        </w:tc>
      </w:tr>
      <w:tr w:rsidR="00AD0488" w:rsidRPr="00AD0488" w:rsidTr="00AD0488">
        <w:trPr>
          <w:jc w:val="center"/>
        </w:trPr>
        <w:tc>
          <w:tcPr>
            <w:tcW w:w="0" w:type="auto"/>
            <w:tcBorders>
              <w:top w:val="dashed" w:sz="6" w:space="0" w:color="CCCCCC"/>
              <w:left w:val="dashed" w:sz="6" w:space="0" w:color="CCCCCC"/>
              <w:bottom w:val="dashed" w:sz="6" w:space="0" w:color="CCCCCC"/>
              <w:right w:val="dashed" w:sz="6" w:space="0" w:color="CCCCCC"/>
            </w:tcBorders>
            <w:shd w:val="clear" w:color="auto" w:fill="E5E5E5"/>
            <w:noWrap/>
            <w:tcMar>
              <w:top w:w="90" w:type="dxa"/>
              <w:left w:w="90" w:type="dxa"/>
              <w:bottom w:w="90" w:type="dxa"/>
              <w:right w:w="90" w:type="dxa"/>
            </w:tcMar>
            <w:vAlign w:val="bottom"/>
            <w:hideMark/>
          </w:tcPr>
          <w:p w:rsidR="00AD0488" w:rsidRPr="00AD0488" w:rsidRDefault="00AD0488" w:rsidP="00AD0488">
            <w:pPr>
              <w:spacing w:after="0" w:line="240" w:lineRule="auto"/>
              <w:jc w:val="center"/>
              <w:rPr>
                <w:rFonts w:ascii="Times New Roman" w:eastAsia="Times New Roman" w:hAnsi="Times New Roman" w:cs="Times New Roman"/>
                <w:color w:val="333333"/>
                <w:sz w:val="18"/>
                <w:szCs w:val="18"/>
                <w:lang w:eastAsia="es-AR"/>
              </w:rPr>
            </w:pPr>
            <w:r w:rsidRPr="00AD0488">
              <w:rPr>
                <w:rFonts w:ascii="Times New Roman" w:eastAsia="Times New Roman" w:hAnsi="Times New Roman" w:cs="Times New Roman"/>
                <w:b/>
                <w:bCs/>
                <w:color w:val="333333"/>
                <w:sz w:val="18"/>
                <w:szCs w:val="18"/>
                <w:bdr w:val="none" w:sz="0" w:space="0" w:color="auto" w:frame="1"/>
                <w:lang w:eastAsia="es-AR"/>
              </w:rPr>
              <w:t>Antecedentes</w:t>
            </w:r>
          </w:p>
        </w:tc>
        <w:tc>
          <w:tcPr>
            <w:tcW w:w="0" w:type="auto"/>
            <w:tcBorders>
              <w:top w:val="dashed" w:sz="6" w:space="0" w:color="CCCCCC"/>
              <w:left w:val="dashed" w:sz="6" w:space="0" w:color="CCCCCC"/>
              <w:bottom w:val="dashed" w:sz="6" w:space="0" w:color="CCCCCC"/>
              <w:right w:val="dashed" w:sz="6" w:space="0" w:color="CCCCCC"/>
            </w:tcBorders>
            <w:shd w:val="clear" w:color="auto" w:fill="F7F7F7"/>
            <w:noWrap/>
            <w:tcMar>
              <w:top w:w="90" w:type="dxa"/>
              <w:left w:w="90" w:type="dxa"/>
              <w:bottom w:w="90" w:type="dxa"/>
              <w:right w:w="90" w:type="dxa"/>
            </w:tcMar>
            <w:vAlign w:val="bottom"/>
            <w:hideMark/>
          </w:tcPr>
          <w:p w:rsidR="00AD0488" w:rsidRPr="00AD0488" w:rsidRDefault="00AD0488" w:rsidP="00AD0488">
            <w:pPr>
              <w:spacing w:after="0" w:line="240" w:lineRule="auto"/>
              <w:jc w:val="center"/>
              <w:rPr>
                <w:rFonts w:ascii="Times New Roman" w:eastAsia="Times New Roman" w:hAnsi="Times New Roman" w:cs="Times New Roman"/>
                <w:color w:val="333333"/>
                <w:sz w:val="18"/>
                <w:szCs w:val="18"/>
                <w:lang w:eastAsia="es-AR"/>
              </w:rPr>
            </w:pPr>
            <w:r w:rsidRPr="00AD0488">
              <w:rPr>
                <w:rFonts w:ascii="Times New Roman" w:eastAsia="Times New Roman" w:hAnsi="Times New Roman" w:cs="Times New Roman"/>
                <w:color w:val="333333"/>
                <w:sz w:val="18"/>
                <w:szCs w:val="18"/>
                <w:lang w:eastAsia="es-AR"/>
              </w:rPr>
              <w:t>Antecedentes psiquiátricos y/o problemas familiares/personales</w:t>
            </w:r>
          </w:p>
        </w:tc>
        <w:tc>
          <w:tcPr>
            <w:tcW w:w="0" w:type="auto"/>
            <w:tcBorders>
              <w:top w:val="dashed" w:sz="6" w:space="0" w:color="CCCCCC"/>
              <w:left w:val="dashed" w:sz="6" w:space="0" w:color="CCCCCC"/>
              <w:bottom w:val="dashed" w:sz="6" w:space="0" w:color="CCCCCC"/>
              <w:right w:val="dashed" w:sz="6" w:space="0" w:color="CCCCCC"/>
            </w:tcBorders>
            <w:shd w:val="clear" w:color="auto" w:fill="F7F7F7"/>
            <w:noWrap/>
            <w:tcMar>
              <w:top w:w="90" w:type="dxa"/>
              <w:left w:w="90" w:type="dxa"/>
              <w:bottom w:w="90" w:type="dxa"/>
              <w:right w:w="90" w:type="dxa"/>
            </w:tcMar>
            <w:vAlign w:val="bottom"/>
            <w:hideMark/>
          </w:tcPr>
          <w:p w:rsidR="00AD0488" w:rsidRPr="00AD0488" w:rsidRDefault="00AD0488" w:rsidP="00AD0488">
            <w:pPr>
              <w:spacing w:after="0" w:line="240" w:lineRule="auto"/>
              <w:jc w:val="center"/>
              <w:rPr>
                <w:rFonts w:ascii="Times New Roman" w:eastAsia="Times New Roman" w:hAnsi="Times New Roman" w:cs="Times New Roman"/>
                <w:color w:val="333333"/>
                <w:sz w:val="18"/>
                <w:szCs w:val="18"/>
                <w:lang w:eastAsia="es-AR"/>
              </w:rPr>
            </w:pPr>
            <w:r w:rsidRPr="00AD0488">
              <w:rPr>
                <w:rFonts w:ascii="Times New Roman" w:eastAsia="Times New Roman" w:hAnsi="Times New Roman" w:cs="Times New Roman"/>
                <w:color w:val="333333"/>
                <w:sz w:val="18"/>
                <w:szCs w:val="18"/>
                <w:lang w:eastAsia="es-AR"/>
              </w:rPr>
              <w:t>No son raros los antecedentes familiares de demencia</w:t>
            </w:r>
          </w:p>
        </w:tc>
      </w:tr>
    </w:tbl>
    <w:p w:rsidR="00AD0488" w:rsidRPr="00AD0488" w:rsidRDefault="00AD0488" w:rsidP="00AD0488">
      <w:pPr>
        <w:shd w:val="clear" w:color="auto" w:fill="FFFFFF"/>
        <w:spacing w:after="0" w:line="255" w:lineRule="atLeast"/>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br/>
        <w:t>En el diagnóstico diferencial hay que explorar la posible presencia de procesos patológicos que provocan pérdida de memoria (GPC Demencias SNS, 2010): </w:t>
      </w:r>
      <w:r w:rsidRPr="00AD0488">
        <w:rPr>
          <w:rFonts w:ascii="Arial" w:eastAsia="Times New Roman" w:hAnsi="Arial" w:cs="Arial"/>
          <w:color w:val="222222"/>
          <w:sz w:val="18"/>
          <w:szCs w:val="18"/>
          <w:lang w:eastAsia="es-AR"/>
        </w:rPr>
        <w:br/>
        <w:t> </w:t>
      </w:r>
    </w:p>
    <w:p w:rsidR="00AD0488" w:rsidRPr="00AD0488" w:rsidRDefault="00AD0488" w:rsidP="00AD0488">
      <w:pPr>
        <w:numPr>
          <w:ilvl w:val="0"/>
          <w:numId w:val="33"/>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Delirium.</w:t>
      </w:r>
    </w:p>
    <w:p w:rsidR="00AD0488" w:rsidRPr="00AD0488" w:rsidRDefault="00AD0488" w:rsidP="00AD0488">
      <w:pPr>
        <w:numPr>
          <w:ilvl w:val="0"/>
          <w:numId w:val="33"/>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Hematoma subdural.</w:t>
      </w:r>
    </w:p>
    <w:p w:rsidR="00AD0488" w:rsidRPr="00AD0488" w:rsidRDefault="00AD0488" w:rsidP="00AD0488">
      <w:pPr>
        <w:numPr>
          <w:ilvl w:val="0"/>
          <w:numId w:val="33"/>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Infección por HIV.</w:t>
      </w:r>
    </w:p>
    <w:p w:rsidR="00AD0488" w:rsidRPr="00AD0488" w:rsidRDefault="00AD0488" w:rsidP="00AD0488">
      <w:pPr>
        <w:numPr>
          <w:ilvl w:val="0"/>
          <w:numId w:val="33"/>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AD0488">
        <w:rPr>
          <w:rFonts w:ascii="Arial" w:eastAsia="Times New Roman" w:hAnsi="Arial" w:cs="Arial"/>
          <w:color w:val="222222"/>
          <w:sz w:val="18"/>
          <w:szCs w:val="18"/>
          <w:lang w:eastAsia="es-AR"/>
        </w:rPr>
        <w:t>Neurolúes</w:t>
      </w:r>
      <w:proofErr w:type="spellEnd"/>
      <w:r w:rsidRPr="00AD0488">
        <w:rPr>
          <w:rFonts w:ascii="Arial" w:eastAsia="Times New Roman" w:hAnsi="Arial" w:cs="Arial"/>
          <w:color w:val="222222"/>
          <w:sz w:val="18"/>
          <w:szCs w:val="18"/>
          <w:lang w:eastAsia="es-AR"/>
        </w:rPr>
        <w:t>.</w:t>
      </w:r>
    </w:p>
    <w:p w:rsidR="00AD0488" w:rsidRPr="00AD0488" w:rsidRDefault="00AD0488" w:rsidP="00AD0488">
      <w:pPr>
        <w:numPr>
          <w:ilvl w:val="0"/>
          <w:numId w:val="33"/>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 xml:space="preserve">Enfermedad de </w:t>
      </w:r>
      <w:proofErr w:type="spellStart"/>
      <w:r w:rsidRPr="00AD0488">
        <w:rPr>
          <w:rFonts w:ascii="Arial" w:eastAsia="Times New Roman" w:hAnsi="Arial" w:cs="Arial"/>
          <w:color w:val="222222"/>
          <w:sz w:val="18"/>
          <w:szCs w:val="18"/>
          <w:lang w:eastAsia="es-AR"/>
        </w:rPr>
        <w:t>Creutzfeldt</w:t>
      </w:r>
      <w:proofErr w:type="spellEnd"/>
      <w:r w:rsidRPr="00AD0488">
        <w:rPr>
          <w:rFonts w:ascii="Arial" w:eastAsia="Times New Roman" w:hAnsi="Arial" w:cs="Arial"/>
          <w:color w:val="222222"/>
          <w:sz w:val="18"/>
          <w:szCs w:val="18"/>
          <w:lang w:eastAsia="es-AR"/>
        </w:rPr>
        <w:t>-Jacob.</w:t>
      </w:r>
    </w:p>
    <w:p w:rsidR="00AD0488" w:rsidRPr="00AD0488" w:rsidRDefault="00AD0488" w:rsidP="00AD0488">
      <w:pPr>
        <w:numPr>
          <w:ilvl w:val="0"/>
          <w:numId w:val="33"/>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Deficiencia de vitamina B12 o ácido fólico.</w:t>
      </w:r>
    </w:p>
    <w:p w:rsidR="00AD0488" w:rsidRPr="00AD0488" w:rsidRDefault="00AD0488" w:rsidP="00AD0488">
      <w:pPr>
        <w:numPr>
          <w:ilvl w:val="0"/>
          <w:numId w:val="33"/>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 xml:space="preserve">Hidrocefalia </w:t>
      </w:r>
      <w:proofErr w:type="spellStart"/>
      <w:r w:rsidRPr="00AD0488">
        <w:rPr>
          <w:rFonts w:ascii="Arial" w:eastAsia="Times New Roman" w:hAnsi="Arial" w:cs="Arial"/>
          <w:color w:val="222222"/>
          <w:sz w:val="18"/>
          <w:szCs w:val="18"/>
          <w:lang w:eastAsia="es-AR"/>
        </w:rPr>
        <w:t>normotensiva</w:t>
      </w:r>
      <w:proofErr w:type="spellEnd"/>
      <w:r w:rsidRPr="00AD0488">
        <w:rPr>
          <w:rFonts w:ascii="Arial" w:eastAsia="Times New Roman" w:hAnsi="Arial" w:cs="Arial"/>
          <w:color w:val="222222"/>
          <w:sz w:val="18"/>
          <w:szCs w:val="18"/>
          <w:lang w:eastAsia="es-AR"/>
        </w:rPr>
        <w:t>.</w:t>
      </w:r>
    </w:p>
    <w:p w:rsidR="00AD0488" w:rsidRPr="00AD0488" w:rsidRDefault="00AD0488" w:rsidP="00AD0488">
      <w:pPr>
        <w:numPr>
          <w:ilvl w:val="0"/>
          <w:numId w:val="33"/>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Endocrinopatías.</w:t>
      </w:r>
    </w:p>
    <w:p w:rsidR="00AD0488" w:rsidRPr="00AD0488" w:rsidRDefault="00AD0488" w:rsidP="00AD0488">
      <w:pPr>
        <w:numPr>
          <w:ilvl w:val="0"/>
          <w:numId w:val="33"/>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Tóxicos (metales pesados, monóxido de carbono, drogas o alcohol).</w:t>
      </w:r>
    </w:p>
    <w:p w:rsidR="00AD0488" w:rsidRPr="00AD0488" w:rsidRDefault="00AD0488" w:rsidP="00AD0488">
      <w:pPr>
        <w:numPr>
          <w:ilvl w:val="0"/>
          <w:numId w:val="33"/>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 xml:space="preserve">Enfermedades cardiovasculares (AVC, demencia </w:t>
      </w:r>
      <w:proofErr w:type="spellStart"/>
      <w:r w:rsidRPr="00AD0488">
        <w:rPr>
          <w:rFonts w:ascii="Arial" w:eastAsia="Times New Roman" w:hAnsi="Arial" w:cs="Arial"/>
          <w:color w:val="222222"/>
          <w:sz w:val="18"/>
          <w:szCs w:val="18"/>
          <w:lang w:eastAsia="es-AR"/>
        </w:rPr>
        <w:t>multinfarto</w:t>
      </w:r>
      <w:proofErr w:type="spellEnd"/>
      <w:r w:rsidRPr="00AD0488">
        <w:rPr>
          <w:rFonts w:ascii="Arial" w:eastAsia="Times New Roman" w:hAnsi="Arial" w:cs="Arial"/>
          <w:color w:val="222222"/>
          <w:sz w:val="18"/>
          <w:szCs w:val="18"/>
          <w:lang w:eastAsia="es-AR"/>
        </w:rPr>
        <w:t>, arteriosclerosis).</w:t>
      </w:r>
    </w:p>
    <w:p w:rsidR="00AD0488" w:rsidRPr="00AD0488" w:rsidRDefault="00AD0488" w:rsidP="00AD0488">
      <w:pPr>
        <w:shd w:val="clear" w:color="auto" w:fill="FFFFFF"/>
        <w:spacing w:after="0" w:line="255" w:lineRule="atLeast"/>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br/>
        <w:t>Algunos medicamentos prescritos pueden afectar a la memoria y la capacidad de orientación (ansiolíticos, hipnóticos, analgésicos, anticonvulsivantes, etc.). Un aumento repentino de la confusión puede ser consecuencia de una enfermedad somática (por ejemplo: una enfermedad infecciosa aguda) o de la toxicidad de un fármaco.</w:t>
      </w:r>
    </w:p>
    <w:p w:rsidR="00AD0488" w:rsidRPr="00AD0488" w:rsidRDefault="00FB5C3E" w:rsidP="00AD0488">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29" w:anchor="top" w:tgtFrame="_blank" w:history="1">
        <w:r w:rsidR="00AD0488" w:rsidRPr="00AD0488">
          <w:rPr>
            <w:rFonts w:ascii="Arial" w:eastAsia="Times New Roman" w:hAnsi="Arial" w:cs="Arial"/>
            <w:b/>
            <w:bCs/>
            <w:color w:val="008888"/>
            <w:sz w:val="18"/>
            <w:szCs w:val="18"/>
            <w:u w:val="single"/>
            <w:bdr w:val="none" w:sz="0" w:space="0" w:color="auto" w:frame="1"/>
            <w:lang w:eastAsia="es-AR"/>
          </w:rPr>
          <w:t>subir</w:t>
        </w:r>
      </w:hyperlink>
    </w:p>
    <w:p w:rsidR="00AD0488" w:rsidRPr="00AD0488" w:rsidRDefault="00AD0488" w:rsidP="00AD0488">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6" w:name="x_2128"/>
      <w:bookmarkEnd w:id="6"/>
      <w:r w:rsidRPr="00AD0488">
        <w:rPr>
          <w:rFonts w:ascii="Arial" w:eastAsia="Times New Roman" w:hAnsi="Arial" w:cs="Arial"/>
          <w:b/>
          <w:bCs/>
          <w:color w:val="008888"/>
          <w:sz w:val="21"/>
          <w:szCs w:val="21"/>
          <w:lang w:eastAsia="es-AR"/>
        </w:rPr>
        <w:t>¿Cómo tratarla?</w:t>
      </w:r>
    </w:p>
    <w:p w:rsidR="00AD0488" w:rsidRPr="00AD0488" w:rsidRDefault="00AD0488" w:rsidP="00AD0488">
      <w:pPr>
        <w:shd w:val="clear" w:color="auto" w:fill="FFFFFF"/>
        <w:spacing w:after="0" w:line="255" w:lineRule="atLeast"/>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br/>
        <w:t>El tratamiento debería implementarse por un equipo multidisciplinar de profesionales.</w:t>
      </w:r>
      <w:r w:rsidRPr="00AD0488">
        <w:rPr>
          <w:rFonts w:ascii="Arial" w:eastAsia="Times New Roman" w:hAnsi="Arial" w:cs="Arial"/>
          <w:color w:val="222222"/>
          <w:sz w:val="18"/>
          <w:szCs w:val="18"/>
          <w:lang w:eastAsia="es-AR"/>
        </w:rPr>
        <w:br/>
      </w:r>
      <w:r w:rsidRPr="00AD0488">
        <w:rPr>
          <w:rFonts w:ascii="Arial" w:eastAsia="Times New Roman" w:hAnsi="Arial" w:cs="Arial"/>
          <w:color w:val="222222"/>
          <w:sz w:val="18"/>
          <w:szCs w:val="18"/>
          <w:lang w:eastAsia="es-AR"/>
        </w:rPr>
        <w:br/>
        <w:t>Los síntomas depresivos pueden ser tratados con antidepresivos inhibidores selectivos de la serotonina, </w:t>
      </w:r>
      <w:hyperlink r:id="rId30" w:tgtFrame="_blank" w:history="1">
        <w:r w:rsidRPr="00AD0488">
          <w:rPr>
            <w:rFonts w:ascii="Arial" w:eastAsia="Times New Roman" w:hAnsi="Arial" w:cs="Arial"/>
            <w:color w:val="008888"/>
            <w:sz w:val="18"/>
            <w:szCs w:val="18"/>
            <w:u w:val="single"/>
            <w:lang w:eastAsia="es-AR"/>
          </w:rPr>
          <w:t>ISRS</w:t>
        </w:r>
      </w:hyperlink>
      <w:r w:rsidRPr="00AD0488">
        <w:rPr>
          <w:rFonts w:ascii="Arial" w:eastAsia="Times New Roman" w:hAnsi="Arial" w:cs="Arial"/>
          <w:color w:val="222222"/>
          <w:sz w:val="18"/>
          <w:szCs w:val="18"/>
          <w:lang w:eastAsia="es-AR"/>
        </w:rPr>
        <w:t> (preferiblemente </w:t>
      </w:r>
      <w:proofErr w:type="spellStart"/>
      <w:r w:rsidRPr="00AD0488">
        <w:rPr>
          <w:rFonts w:ascii="Arial" w:eastAsia="Times New Roman" w:hAnsi="Arial" w:cs="Arial"/>
          <w:color w:val="222222"/>
          <w:sz w:val="18"/>
          <w:szCs w:val="18"/>
          <w:lang w:eastAsia="es-AR"/>
        </w:rPr>
        <w:fldChar w:fldCharType="begin"/>
      </w:r>
      <w:r w:rsidRPr="00AD0488">
        <w:rPr>
          <w:rFonts w:ascii="Arial" w:eastAsia="Times New Roman" w:hAnsi="Arial" w:cs="Arial"/>
          <w:color w:val="222222"/>
          <w:sz w:val="18"/>
          <w:szCs w:val="18"/>
          <w:lang w:eastAsia="es-AR"/>
        </w:rPr>
        <w:instrText xml:space="preserve"> HYPERLINK "http://www.fisterra.com/herramientas/medicamentos/sertralina/" \t "_blank" </w:instrText>
      </w:r>
      <w:r w:rsidRPr="00AD0488">
        <w:rPr>
          <w:rFonts w:ascii="Arial" w:eastAsia="Times New Roman" w:hAnsi="Arial" w:cs="Arial"/>
          <w:color w:val="222222"/>
          <w:sz w:val="18"/>
          <w:szCs w:val="18"/>
          <w:lang w:eastAsia="es-AR"/>
        </w:rPr>
        <w:fldChar w:fldCharType="separate"/>
      </w:r>
      <w:r w:rsidRPr="00AD0488">
        <w:rPr>
          <w:rFonts w:ascii="Arial" w:eastAsia="Times New Roman" w:hAnsi="Arial" w:cs="Arial"/>
          <w:color w:val="008888"/>
          <w:sz w:val="18"/>
          <w:szCs w:val="18"/>
          <w:u w:val="single"/>
          <w:lang w:eastAsia="es-AR"/>
        </w:rPr>
        <w:t>sertralina</w:t>
      </w:r>
      <w:proofErr w:type="spellEnd"/>
      <w:r w:rsidRPr="00AD0488">
        <w:rPr>
          <w:rFonts w:ascii="Arial" w:eastAsia="Times New Roman" w:hAnsi="Arial" w:cs="Arial"/>
          <w:color w:val="222222"/>
          <w:sz w:val="18"/>
          <w:szCs w:val="18"/>
          <w:lang w:eastAsia="es-AR"/>
        </w:rPr>
        <w:fldChar w:fldCharType="end"/>
      </w:r>
      <w:r w:rsidRPr="00AD0488">
        <w:rPr>
          <w:rFonts w:ascii="Arial" w:eastAsia="Times New Roman" w:hAnsi="Arial" w:cs="Arial"/>
          <w:color w:val="222222"/>
          <w:sz w:val="18"/>
          <w:szCs w:val="18"/>
          <w:lang w:eastAsia="es-AR"/>
        </w:rPr>
        <w:t> </w:t>
      </w:r>
      <w:proofErr w:type="spellStart"/>
      <w:r w:rsidRPr="00AD0488">
        <w:rPr>
          <w:rFonts w:ascii="Arial" w:eastAsia="Times New Roman" w:hAnsi="Arial" w:cs="Arial"/>
          <w:color w:val="222222"/>
          <w:sz w:val="18"/>
          <w:szCs w:val="18"/>
          <w:lang w:eastAsia="es-AR"/>
        </w:rPr>
        <w:t>o</w:t>
      </w:r>
      <w:hyperlink r:id="rId31" w:tgtFrame="_blank" w:history="1">
        <w:r w:rsidRPr="00AD0488">
          <w:rPr>
            <w:rFonts w:ascii="Arial" w:eastAsia="Times New Roman" w:hAnsi="Arial" w:cs="Arial"/>
            <w:color w:val="008888"/>
            <w:sz w:val="18"/>
            <w:szCs w:val="18"/>
            <w:u w:val="single"/>
            <w:lang w:eastAsia="es-AR"/>
          </w:rPr>
          <w:t>citalopram</w:t>
        </w:r>
        <w:proofErr w:type="spellEnd"/>
      </w:hyperlink>
      <w:r w:rsidRPr="00AD0488">
        <w:rPr>
          <w:rFonts w:ascii="Arial" w:eastAsia="Times New Roman" w:hAnsi="Arial" w:cs="Arial"/>
          <w:color w:val="222222"/>
          <w:sz w:val="18"/>
          <w:szCs w:val="18"/>
          <w:lang w:eastAsia="es-AR"/>
        </w:rPr>
        <w:t>) (GPC Demencias SNS, 2010).</w:t>
      </w:r>
      <w:r w:rsidRPr="00AD0488">
        <w:rPr>
          <w:rFonts w:ascii="Arial" w:eastAsia="Times New Roman" w:hAnsi="Arial" w:cs="Arial"/>
          <w:color w:val="222222"/>
          <w:sz w:val="18"/>
          <w:szCs w:val="18"/>
          <w:lang w:eastAsia="es-AR"/>
        </w:rPr>
        <w:br/>
      </w:r>
      <w:r w:rsidRPr="00AD0488">
        <w:rPr>
          <w:rFonts w:ascii="Arial" w:eastAsia="Times New Roman" w:hAnsi="Arial" w:cs="Arial"/>
          <w:color w:val="222222"/>
          <w:sz w:val="18"/>
          <w:szCs w:val="18"/>
          <w:lang w:eastAsia="es-AR"/>
        </w:rPr>
        <w:br/>
        <w:t xml:space="preserve">El insomnio debe tratarse inicialmente con medidas de educación e higiene. A menudo es más efectivo </w:t>
      </w:r>
      <w:r w:rsidRPr="00AD0488">
        <w:rPr>
          <w:rFonts w:ascii="Arial" w:eastAsia="Times New Roman" w:hAnsi="Arial" w:cs="Arial"/>
          <w:color w:val="222222"/>
          <w:sz w:val="18"/>
          <w:szCs w:val="18"/>
          <w:lang w:eastAsia="es-AR"/>
        </w:rPr>
        <w:lastRenderedPageBreak/>
        <w:t>aliviar los síntomas asociados (por ejemplo: el uso de un analgésico para el dolor puede ser el mejor hipnótico). Algunos pacientes se benefician del </w:t>
      </w:r>
      <w:proofErr w:type="spellStart"/>
      <w:r w:rsidRPr="00AD0488">
        <w:rPr>
          <w:rFonts w:ascii="Arial" w:eastAsia="Times New Roman" w:hAnsi="Arial" w:cs="Arial"/>
          <w:color w:val="222222"/>
          <w:sz w:val="18"/>
          <w:szCs w:val="18"/>
          <w:lang w:eastAsia="es-AR"/>
        </w:rPr>
        <w:fldChar w:fldCharType="begin"/>
      </w:r>
      <w:r w:rsidRPr="00AD0488">
        <w:rPr>
          <w:rFonts w:ascii="Arial" w:eastAsia="Times New Roman" w:hAnsi="Arial" w:cs="Arial"/>
          <w:color w:val="222222"/>
          <w:sz w:val="18"/>
          <w:szCs w:val="18"/>
          <w:lang w:eastAsia="es-AR"/>
        </w:rPr>
        <w:instrText xml:space="preserve"> HYPERLINK "http://www.fisterra.com/herramientas/medicamentos/clometiazol/" \t "_blank" </w:instrText>
      </w:r>
      <w:r w:rsidRPr="00AD0488">
        <w:rPr>
          <w:rFonts w:ascii="Arial" w:eastAsia="Times New Roman" w:hAnsi="Arial" w:cs="Arial"/>
          <w:color w:val="222222"/>
          <w:sz w:val="18"/>
          <w:szCs w:val="18"/>
          <w:lang w:eastAsia="es-AR"/>
        </w:rPr>
        <w:fldChar w:fldCharType="separate"/>
      </w:r>
      <w:r w:rsidRPr="00AD0488">
        <w:rPr>
          <w:rFonts w:ascii="Arial" w:eastAsia="Times New Roman" w:hAnsi="Arial" w:cs="Arial"/>
          <w:color w:val="008888"/>
          <w:sz w:val="18"/>
          <w:szCs w:val="18"/>
          <w:u w:val="single"/>
          <w:lang w:eastAsia="es-AR"/>
        </w:rPr>
        <w:t>clometiazol</w:t>
      </w:r>
      <w:proofErr w:type="spellEnd"/>
      <w:r w:rsidRPr="00AD0488">
        <w:rPr>
          <w:rFonts w:ascii="Arial" w:eastAsia="Times New Roman" w:hAnsi="Arial" w:cs="Arial"/>
          <w:color w:val="222222"/>
          <w:sz w:val="18"/>
          <w:szCs w:val="18"/>
          <w:lang w:eastAsia="es-AR"/>
        </w:rPr>
        <w:fldChar w:fldCharType="end"/>
      </w:r>
      <w:r w:rsidRPr="00AD0488">
        <w:rPr>
          <w:rFonts w:ascii="Arial" w:eastAsia="Times New Roman" w:hAnsi="Arial" w:cs="Arial"/>
          <w:color w:val="222222"/>
          <w:sz w:val="18"/>
          <w:szCs w:val="18"/>
          <w:lang w:eastAsia="es-AR"/>
        </w:rPr>
        <w:t> o de benzodiacepinas de vida media corta, en dosis bajas y a corto plazo. El insomnio resistente puede responder a los antidepresivos de tipo sedante como la </w:t>
      </w:r>
      <w:proofErr w:type="spellStart"/>
      <w:r w:rsidRPr="00AD0488">
        <w:rPr>
          <w:rFonts w:ascii="Arial" w:eastAsia="Times New Roman" w:hAnsi="Arial" w:cs="Arial"/>
          <w:color w:val="222222"/>
          <w:sz w:val="18"/>
          <w:szCs w:val="18"/>
          <w:lang w:eastAsia="es-AR"/>
        </w:rPr>
        <w:fldChar w:fldCharType="begin"/>
      </w:r>
      <w:r w:rsidRPr="00AD0488">
        <w:rPr>
          <w:rFonts w:ascii="Arial" w:eastAsia="Times New Roman" w:hAnsi="Arial" w:cs="Arial"/>
          <w:color w:val="222222"/>
          <w:sz w:val="18"/>
          <w:szCs w:val="18"/>
          <w:lang w:eastAsia="es-AR"/>
        </w:rPr>
        <w:instrText xml:space="preserve"> HYPERLINK "http://www.fisterra.com/herramientas/medicamentos/trazodona/" \t "_blank" </w:instrText>
      </w:r>
      <w:r w:rsidRPr="00AD0488">
        <w:rPr>
          <w:rFonts w:ascii="Arial" w:eastAsia="Times New Roman" w:hAnsi="Arial" w:cs="Arial"/>
          <w:color w:val="222222"/>
          <w:sz w:val="18"/>
          <w:szCs w:val="18"/>
          <w:lang w:eastAsia="es-AR"/>
        </w:rPr>
        <w:fldChar w:fldCharType="separate"/>
      </w:r>
      <w:r w:rsidRPr="00AD0488">
        <w:rPr>
          <w:rFonts w:ascii="Arial" w:eastAsia="Times New Roman" w:hAnsi="Arial" w:cs="Arial"/>
          <w:color w:val="008888"/>
          <w:sz w:val="18"/>
          <w:szCs w:val="18"/>
          <w:u w:val="single"/>
          <w:lang w:eastAsia="es-AR"/>
        </w:rPr>
        <w:t>trazodona</w:t>
      </w:r>
      <w:proofErr w:type="spellEnd"/>
      <w:r w:rsidRPr="00AD0488">
        <w:rPr>
          <w:rFonts w:ascii="Arial" w:eastAsia="Times New Roman" w:hAnsi="Arial" w:cs="Arial"/>
          <w:color w:val="222222"/>
          <w:sz w:val="18"/>
          <w:szCs w:val="18"/>
          <w:lang w:eastAsia="es-AR"/>
        </w:rPr>
        <w:fldChar w:fldCharType="end"/>
      </w:r>
      <w:r w:rsidRPr="00AD0488">
        <w:rPr>
          <w:rFonts w:ascii="Arial" w:eastAsia="Times New Roman" w:hAnsi="Arial" w:cs="Arial"/>
          <w:color w:val="222222"/>
          <w:sz w:val="18"/>
          <w:szCs w:val="18"/>
          <w:lang w:eastAsia="es-AR"/>
        </w:rPr>
        <w:t>.</w:t>
      </w:r>
      <w:r w:rsidRPr="00AD0488">
        <w:rPr>
          <w:rFonts w:ascii="Arial" w:eastAsia="Times New Roman" w:hAnsi="Arial" w:cs="Arial"/>
          <w:color w:val="222222"/>
          <w:sz w:val="18"/>
          <w:szCs w:val="18"/>
          <w:lang w:eastAsia="es-AR"/>
        </w:rPr>
        <w:br/>
      </w:r>
      <w:r w:rsidRPr="00AD0488">
        <w:rPr>
          <w:rFonts w:ascii="Arial" w:eastAsia="Times New Roman" w:hAnsi="Arial" w:cs="Arial"/>
          <w:color w:val="222222"/>
          <w:sz w:val="18"/>
          <w:szCs w:val="18"/>
          <w:lang w:eastAsia="es-AR"/>
        </w:rPr>
        <w:br/>
        <w:t>En el tratamiento de la agresividad, agitación, conductas paranoides o alucinaciones, puede ser necesaria una medicación antipsicótica en dosis bajas (antipsicóticos atípicos como primera línea de tratamiento). Los antipsicóticos pueden producir efectos secundarios (problemas cardiovasculares graves, parkinsonismo, síntomas anticolinérgicos, etc.) e interacciones medicamentosas que deben ser tenidas en cuenta. El balance beneficio-riesgo sólo es favorable en el tratamiento sintomático de episodios graves de agresividad o cuadros psicóticos severos que no respondan a otras medidas y para los que se hayan descartado otras etiologías, manteniendo el tratamiento durante el menor tiempo posible. En pacientes con DTA y síntomas psicóticos puede emplearse la </w:t>
      </w:r>
      <w:proofErr w:type="spellStart"/>
      <w:r w:rsidRPr="00AD0488">
        <w:rPr>
          <w:rFonts w:ascii="Arial" w:eastAsia="Times New Roman" w:hAnsi="Arial" w:cs="Arial"/>
          <w:color w:val="222222"/>
          <w:sz w:val="18"/>
          <w:szCs w:val="18"/>
          <w:lang w:eastAsia="es-AR"/>
        </w:rPr>
        <w:fldChar w:fldCharType="begin"/>
      </w:r>
      <w:r w:rsidRPr="00AD0488">
        <w:rPr>
          <w:rFonts w:ascii="Arial" w:eastAsia="Times New Roman" w:hAnsi="Arial" w:cs="Arial"/>
          <w:color w:val="222222"/>
          <w:sz w:val="18"/>
          <w:szCs w:val="18"/>
          <w:lang w:eastAsia="es-AR"/>
        </w:rPr>
        <w:instrText xml:space="preserve"> HYPERLINK "http://www.fisterra.com/herramientas/medicamentos/risperidona/" \t "_blank" </w:instrText>
      </w:r>
      <w:r w:rsidRPr="00AD0488">
        <w:rPr>
          <w:rFonts w:ascii="Arial" w:eastAsia="Times New Roman" w:hAnsi="Arial" w:cs="Arial"/>
          <w:color w:val="222222"/>
          <w:sz w:val="18"/>
          <w:szCs w:val="18"/>
          <w:lang w:eastAsia="es-AR"/>
        </w:rPr>
        <w:fldChar w:fldCharType="separate"/>
      </w:r>
      <w:r w:rsidRPr="00AD0488">
        <w:rPr>
          <w:rFonts w:ascii="Arial" w:eastAsia="Times New Roman" w:hAnsi="Arial" w:cs="Arial"/>
          <w:color w:val="008888"/>
          <w:sz w:val="18"/>
          <w:szCs w:val="18"/>
          <w:u w:val="single"/>
          <w:lang w:eastAsia="es-AR"/>
        </w:rPr>
        <w:t>risperidona</w:t>
      </w:r>
      <w:proofErr w:type="spellEnd"/>
      <w:r w:rsidRPr="00AD0488">
        <w:rPr>
          <w:rFonts w:ascii="Arial" w:eastAsia="Times New Roman" w:hAnsi="Arial" w:cs="Arial"/>
          <w:color w:val="222222"/>
          <w:sz w:val="18"/>
          <w:szCs w:val="18"/>
          <w:lang w:eastAsia="es-AR"/>
        </w:rPr>
        <w:fldChar w:fldCharType="end"/>
      </w:r>
      <w:r w:rsidRPr="00AD0488">
        <w:rPr>
          <w:rFonts w:ascii="Arial" w:eastAsia="Times New Roman" w:hAnsi="Arial" w:cs="Arial"/>
          <w:color w:val="222222"/>
          <w:sz w:val="18"/>
          <w:szCs w:val="18"/>
          <w:lang w:eastAsia="es-AR"/>
        </w:rPr>
        <w:t> (GPC Demencias SNS, 2010).</w:t>
      </w:r>
      <w:r w:rsidRPr="00AD0488">
        <w:rPr>
          <w:rFonts w:ascii="Arial" w:eastAsia="Times New Roman" w:hAnsi="Arial" w:cs="Arial"/>
          <w:color w:val="222222"/>
          <w:sz w:val="18"/>
          <w:szCs w:val="18"/>
          <w:lang w:eastAsia="es-AR"/>
        </w:rPr>
        <w:br/>
      </w:r>
      <w:r w:rsidRPr="00AD0488">
        <w:rPr>
          <w:rFonts w:ascii="Arial" w:eastAsia="Times New Roman" w:hAnsi="Arial" w:cs="Arial"/>
          <w:color w:val="222222"/>
          <w:sz w:val="18"/>
          <w:szCs w:val="18"/>
          <w:lang w:eastAsia="es-AR"/>
        </w:rPr>
        <w:br/>
        <w:t>Intento por mejorar la función cognitiva. Sólo clínicos especialistas en el cuidado de personas con demencia (como psiquiatras, neurólogos o geriatras) deben iniciar el tratamiento específico de la DTA (NICE, 2011). </w:t>
      </w:r>
      <w:r w:rsidRPr="00AD0488">
        <w:rPr>
          <w:rFonts w:ascii="Arial" w:eastAsia="Times New Roman" w:hAnsi="Arial" w:cs="Arial"/>
          <w:color w:val="222222"/>
          <w:sz w:val="18"/>
          <w:szCs w:val="18"/>
          <w:lang w:eastAsia="es-AR"/>
        </w:rPr>
        <w:br/>
      </w:r>
      <w:r w:rsidRPr="00AD0488">
        <w:rPr>
          <w:rFonts w:ascii="Arial" w:eastAsia="Times New Roman" w:hAnsi="Arial" w:cs="Arial"/>
          <w:color w:val="222222"/>
          <w:sz w:val="18"/>
          <w:szCs w:val="18"/>
          <w:lang w:eastAsia="es-AR"/>
        </w:rPr>
        <w:br/>
        <w:t>Son beneficiosos los tratamientos no farmacológicos como los programas de ejercicio físico (actúan sobre la funcionalidad), programas de intervención sobre las actividades cotidianas (reducen la sobrecarga del cuidador), programas conductuales (como la higiene programada) o los programas personalizados de entrenamiento cognitivo (GPC Demencias SNS, 2010).</w:t>
      </w:r>
      <w:r w:rsidRPr="00AD0488">
        <w:rPr>
          <w:rFonts w:ascii="Arial" w:eastAsia="Times New Roman" w:hAnsi="Arial" w:cs="Arial"/>
          <w:color w:val="222222"/>
          <w:sz w:val="18"/>
          <w:szCs w:val="18"/>
          <w:lang w:eastAsia="es-AR"/>
        </w:rPr>
        <w:br/>
        <w:t> </w:t>
      </w:r>
      <w:r w:rsidRPr="00AD0488">
        <w:rPr>
          <w:rFonts w:ascii="Arial" w:eastAsia="Times New Roman" w:hAnsi="Arial" w:cs="Arial"/>
          <w:color w:val="222222"/>
          <w:sz w:val="18"/>
          <w:szCs w:val="18"/>
          <w:lang w:eastAsia="es-AR"/>
        </w:rPr>
        <w:br/>
        <w:t>Los</w:t>
      </w:r>
      <w:r w:rsidRPr="00AD0488">
        <w:rPr>
          <w:rFonts w:ascii="Arial" w:eastAsia="Times New Roman" w:hAnsi="Arial" w:cs="Arial"/>
          <w:b/>
          <w:bCs/>
          <w:color w:val="222222"/>
          <w:sz w:val="18"/>
          <w:szCs w:val="18"/>
          <w:bdr w:val="none" w:sz="0" w:space="0" w:color="auto" w:frame="1"/>
          <w:lang w:eastAsia="es-AR"/>
        </w:rPr>
        <w:t> </w:t>
      </w:r>
      <w:r w:rsidRPr="00AD0488">
        <w:rPr>
          <w:rFonts w:ascii="Arial" w:eastAsia="Times New Roman" w:hAnsi="Arial" w:cs="Arial"/>
          <w:color w:val="222222"/>
          <w:sz w:val="18"/>
          <w:szCs w:val="18"/>
          <w:lang w:eastAsia="es-AR"/>
        </w:rPr>
        <w:t xml:space="preserve">inhibidores de la acetilcolinesterasa (IACE) son fármacos eficaces para mejorar los síntomas de la DTA (Burns A, 2006; </w:t>
      </w:r>
      <w:proofErr w:type="spellStart"/>
      <w:r w:rsidRPr="00AD0488">
        <w:rPr>
          <w:rFonts w:ascii="Arial" w:eastAsia="Times New Roman" w:hAnsi="Arial" w:cs="Arial"/>
          <w:color w:val="222222"/>
          <w:sz w:val="18"/>
          <w:szCs w:val="18"/>
          <w:lang w:eastAsia="es-AR"/>
        </w:rPr>
        <w:t>Farlow</w:t>
      </w:r>
      <w:proofErr w:type="spellEnd"/>
      <w:r w:rsidRPr="00AD0488">
        <w:rPr>
          <w:rFonts w:ascii="Arial" w:eastAsia="Times New Roman" w:hAnsi="Arial" w:cs="Arial"/>
          <w:color w:val="222222"/>
          <w:sz w:val="18"/>
          <w:szCs w:val="18"/>
          <w:lang w:eastAsia="es-AR"/>
        </w:rPr>
        <w:t xml:space="preserve"> MR, 2007; </w:t>
      </w:r>
      <w:proofErr w:type="spellStart"/>
      <w:r w:rsidRPr="00AD0488">
        <w:rPr>
          <w:rFonts w:ascii="Arial" w:eastAsia="Times New Roman" w:hAnsi="Arial" w:cs="Arial"/>
          <w:color w:val="222222"/>
          <w:sz w:val="18"/>
          <w:szCs w:val="18"/>
          <w:lang w:eastAsia="es-AR"/>
        </w:rPr>
        <w:t>Loy</w:t>
      </w:r>
      <w:proofErr w:type="spellEnd"/>
      <w:r w:rsidRPr="00AD0488">
        <w:rPr>
          <w:rFonts w:ascii="Arial" w:eastAsia="Times New Roman" w:hAnsi="Arial" w:cs="Arial"/>
          <w:color w:val="222222"/>
          <w:sz w:val="18"/>
          <w:szCs w:val="18"/>
          <w:lang w:eastAsia="es-AR"/>
        </w:rPr>
        <w:t xml:space="preserve"> C, 2007; SIGN, 2006; Warner J, 2005). Se recomienda, en pacientes con DTA leve-moderada, el tratamiento con IACE: </w:t>
      </w:r>
      <w:proofErr w:type="spellStart"/>
      <w:r w:rsidRPr="00AD0488">
        <w:rPr>
          <w:rFonts w:ascii="Arial" w:eastAsia="Times New Roman" w:hAnsi="Arial" w:cs="Arial"/>
          <w:color w:val="222222"/>
          <w:sz w:val="18"/>
          <w:szCs w:val="18"/>
          <w:lang w:eastAsia="es-AR"/>
        </w:rPr>
        <w:fldChar w:fldCharType="begin"/>
      </w:r>
      <w:r w:rsidRPr="00AD0488">
        <w:rPr>
          <w:rFonts w:ascii="Arial" w:eastAsia="Times New Roman" w:hAnsi="Arial" w:cs="Arial"/>
          <w:color w:val="222222"/>
          <w:sz w:val="18"/>
          <w:szCs w:val="18"/>
          <w:lang w:eastAsia="es-AR"/>
        </w:rPr>
        <w:instrText xml:space="preserve"> HYPERLINK "http://www.fisterra.com/herramientas/medicamentos/donepezilo/" \t "_blank" </w:instrText>
      </w:r>
      <w:r w:rsidRPr="00AD0488">
        <w:rPr>
          <w:rFonts w:ascii="Arial" w:eastAsia="Times New Roman" w:hAnsi="Arial" w:cs="Arial"/>
          <w:color w:val="222222"/>
          <w:sz w:val="18"/>
          <w:szCs w:val="18"/>
          <w:lang w:eastAsia="es-AR"/>
        </w:rPr>
        <w:fldChar w:fldCharType="separate"/>
      </w:r>
      <w:r w:rsidRPr="00AD0488">
        <w:rPr>
          <w:rFonts w:ascii="Arial" w:eastAsia="Times New Roman" w:hAnsi="Arial" w:cs="Arial"/>
          <w:color w:val="008888"/>
          <w:sz w:val="18"/>
          <w:szCs w:val="18"/>
          <w:u w:val="single"/>
          <w:lang w:eastAsia="es-AR"/>
        </w:rPr>
        <w:t>donepezilo</w:t>
      </w:r>
      <w:proofErr w:type="spellEnd"/>
      <w:r w:rsidRPr="00AD0488">
        <w:rPr>
          <w:rFonts w:ascii="Arial" w:eastAsia="Times New Roman" w:hAnsi="Arial" w:cs="Arial"/>
          <w:color w:val="222222"/>
          <w:sz w:val="18"/>
          <w:szCs w:val="18"/>
          <w:lang w:eastAsia="es-AR"/>
        </w:rPr>
        <w:fldChar w:fldCharType="end"/>
      </w:r>
      <w:r w:rsidRPr="00AD0488">
        <w:rPr>
          <w:rFonts w:ascii="Arial" w:eastAsia="Times New Roman" w:hAnsi="Arial" w:cs="Arial"/>
          <w:color w:val="222222"/>
          <w:sz w:val="18"/>
          <w:szCs w:val="18"/>
          <w:lang w:eastAsia="es-AR"/>
        </w:rPr>
        <w:t> 5-10 mg/</w:t>
      </w:r>
      <w:proofErr w:type="spellStart"/>
      <w:r w:rsidRPr="00AD0488">
        <w:rPr>
          <w:rFonts w:ascii="Arial" w:eastAsia="Times New Roman" w:hAnsi="Arial" w:cs="Arial"/>
          <w:color w:val="222222"/>
          <w:sz w:val="18"/>
          <w:szCs w:val="18"/>
          <w:lang w:eastAsia="es-AR"/>
        </w:rPr>
        <w:t>día,</w:t>
      </w:r>
      <w:hyperlink r:id="rId32" w:tgtFrame="_blank" w:history="1">
        <w:r w:rsidRPr="00AD0488">
          <w:rPr>
            <w:rFonts w:ascii="Arial" w:eastAsia="Times New Roman" w:hAnsi="Arial" w:cs="Arial"/>
            <w:color w:val="008888"/>
            <w:sz w:val="18"/>
            <w:szCs w:val="18"/>
            <w:u w:val="single"/>
            <w:lang w:eastAsia="es-AR"/>
          </w:rPr>
          <w:t>galantamina</w:t>
        </w:r>
        <w:proofErr w:type="spellEnd"/>
      </w:hyperlink>
      <w:r w:rsidRPr="00AD0488">
        <w:rPr>
          <w:rFonts w:ascii="Arial" w:eastAsia="Times New Roman" w:hAnsi="Arial" w:cs="Arial"/>
          <w:color w:val="222222"/>
          <w:sz w:val="18"/>
          <w:szCs w:val="18"/>
          <w:lang w:eastAsia="es-AR"/>
        </w:rPr>
        <w:t> 16-24 mg/día o </w:t>
      </w:r>
      <w:proofErr w:type="spellStart"/>
      <w:r w:rsidRPr="00AD0488">
        <w:rPr>
          <w:rFonts w:ascii="Arial" w:eastAsia="Times New Roman" w:hAnsi="Arial" w:cs="Arial"/>
          <w:color w:val="222222"/>
          <w:sz w:val="18"/>
          <w:szCs w:val="18"/>
          <w:lang w:eastAsia="es-AR"/>
        </w:rPr>
        <w:fldChar w:fldCharType="begin"/>
      </w:r>
      <w:r w:rsidRPr="00AD0488">
        <w:rPr>
          <w:rFonts w:ascii="Arial" w:eastAsia="Times New Roman" w:hAnsi="Arial" w:cs="Arial"/>
          <w:color w:val="222222"/>
          <w:sz w:val="18"/>
          <w:szCs w:val="18"/>
          <w:lang w:eastAsia="es-AR"/>
        </w:rPr>
        <w:instrText xml:space="preserve"> HYPERLINK "http://www.fisterra.com/herramientas/medicamentos/rivastigmina/" \t "_blank" </w:instrText>
      </w:r>
      <w:r w:rsidRPr="00AD0488">
        <w:rPr>
          <w:rFonts w:ascii="Arial" w:eastAsia="Times New Roman" w:hAnsi="Arial" w:cs="Arial"/>
          <w:color w:val="222222"/>
          <w:sz w:val="18"/>
          <w:szCs w:val="18"/>
          <w:lang w:eastAsia="es-AR"/>
        </w:rPr>
        <w:fldChar w:fldCharType="separate"/>
      </w:r>
      <w:r w:rsidRPr="00AD0488">
        <w:rPr>
          <w:rFonts w:ascii="Arial" w:eastAsia="Times New Roman" w:hAnsi="Arial" w:cs="Arial"/>
          <w:color w:val="008888"/>
          <w:sz w:val="18"/>
          <w:szCs w:val="18"/>
          <w:u w:val="single"/>
          <w:lang w:eastAsia="es-AR"/>
        </w:rPr>
        <w:t>rivastigmina</w:t>
      </w:r>
      <w:proofErr w:type="spellEnd"/>
      <w:r w:rsidRPr="00AD0488">
        <w:rPr>
          <w:rFonts w:ascii="Arial" w:eastAsia="Times New Roman" w:hAnsi="Arial" w:cs="Arial"/>
          <w:color w:val="222222"/>
          <w:sz w:val="18"/>
          <w:szCs w:val="18"/>
          <w:lang w:eastAsia="es-AR"/>
        </w:rPr>
        <w:fldChar w:fldCharType="end"/>
      </w:r>
      <w:r w:rsidRPr="00AD0488">
        <w:rPr>
          <w:rFonts w:ascii="Arial" w:eastAsia="Times New Roman" w:hAnsi="Arial" w:cs="Arial"/>
          <w:color w:val="222222"/>
          <w:sz w:val="18"/>
          <w:szCs w:val="18"/>
          <w:lang w:eastAsia="es-AR"/>
        </w:rPr>
        <w:t xml:space="preserve"> 6-12 mg/día vía oral; 4,6-9,5 mg/día vía </w:t>
      </w:r>
      <w:proofErr w:type="spellStart"/>
      <w:r w:rsidRPr="00AD0488">
        <w:rPr>
          <w:rFonts w:ascii="Arial" w:eastAsia="Times New Roman" w:hAnsi="Arial" w:cs="Arial"/>
          <w:color w:val="222222"/>
          <w:sz w:val="18"/>
          <w:szCs w:val="18"/>
          <w:lang w:eastAsia="es-AR"/>
        </w:rPr>
        <w:t>transdérmica</w:t>
      </w:r>
      <w:proofErr w:type="spellEnd"/>
      <w:r w:rsidRPr="00AD0488">
        <w:rPr>
          <w:rFonts w:ascii="Arial" w:eastAsia="Times New Roman" w:hAnsi="Arial" w:cs="Arial"/>
          <w:color w:val="222222"/>
          <w:sz w:val="18"/>
          <w:szCs w:val="18"/>
          <w:lang w:eastAsia="es-AR"/>
        </w:rPr>
        <w:t>. Los IACE (</w:t>
      </w:r>
      <w:proofErr w:type="spellStart"/>
      <w:r w:rsidRPr="00AD0488">
        <w:rPr>
          <w:rFonts w:ascii="Arial" w:eastAsia="Times New Roman" w:hAnsi="Arial" w:cs="Arial"/>
          <w:color w:val="222222"/>
          <w:sz w:val="18"/>
          <w:szCs w:val="18"/>
          <w:lang w:eastAsia="es-AR"/>
        </w:rPr>
        <w:t>donepezilo</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rivastigmina</w:t>
      </w:r>
      <w:proofErr w:type="spellEnd"/>
      <w:r w:rsidRPr="00AD0488">
        <w:rPr>
          <w:rFonts w:ascii="Arial" w:eastAsia="Times New Roman" w:hAnsi="Arial" w:cs="Arial"/>
          <w:color w:val="222222"/>
          <w:sz w:val="18"/>
          <w:szCs w:val="18"/>
          <w:lang w:eastAsia="es-AR"/>
        </w:rPr>
        <w:t xml:space="preserve"> y </w:t>
      </w:r>
      <w:proofErr w:type="spellStart"/>
      <w:r w:rsidRPr="00AD0488">
        <w:rPr>
          <w:rFonts w:ascii="Arial" w:eastAsia="Times New Roman" w:hAnsi="Arial" w:cs="Arial"/>
          <w:color w:val="222222"/>
          <w:sz w:val="18"/>
          <w:szCs w:val="18"/>
          <w:lang w:eastAsia="es-AR"/>
        </w:rPr>
        <w:t>galantamina</w:t>
      </w:r>
      <w:proofErr w:type="spellEnd"/>
      <w:r w:rsidRPr="00AD0488">
        <w:rPr>
          <w:rFonts w:ascii="Arial" w:eastAsia="Times New Roman" w:hAnsi="Arial" w:cs="Arial"/>
          <w:color w:val="222222"/>
          <w:sz w:val="18"/>
          <w:szCs w:val="18"/>
          <w:lang w:eastAsia="es-AR"/>
        </w:rPr>
        <w:t>) no muestran diferencias entre ellos, respecto a los perfiles de eficacia o seguridad (GPC Demencias SNS, 2010). No se recomiendan los IACE para retardar la progresión de deterioro cognitivo leve a DTA (</w:t>
      </w:r>
      <w:proofErr w:type="spellStart"/>
      <w:r w:rsidRPr="00AD0488">
        <w:rPr>
          <w:rFonts w:ascii="Arial" w:eastAsia="Times New Roman" w:hAnsi="Arial" w:cs="Arial"/>
          <w:color w:val="222222"/>
          <w:sz w:val="18"/>
          <w:szCs w:val="18"/>
          <w:lang w:eastAsia="es-AR"/>
        </w:rPr>
        <w:t>Russ</w:t>
      </w:r>
      <w:proofErr w:type="spellEnd"/>
      <w:r w:rsidRPr="00AD0488">
        <w:rPr>
          <w:rFonts w:ascii="Arial" w:eastAsia="Times New Roman" w:hAnsi="Arial" w:cs="Arial"/>
          <w:color w:val="222222"/>
          <w:sz w:val="18"/>
          <w:szCs w:val="18"/>
          <w:lang w:eastAsia="es-AR"/>
        </w:rPr>
        <w:t>, 2012).</w:t>
      </w:r>
      <w:r w:rsidRPr="00AD0488">
        <w:rPr>
          <w:rFonts w:ascii="Arial" w:eastAsia="Times New Roman" w:hAnsi="Arial" w:cs="Arial"/>
          <w:color w:val="222222"/>
          <w:sz w:val="18"/>
          <w:szCs w:val="18"/>
          <w:lang w:eastAsia="es-AR"/>
        </w:rPr>
        <w:br/>
        <w:t> </w:t>
      </w:r>
      <w:r w:rsidRPr="00AD0488">
        <w:rPr>
          <w:rFonts w:ascii="Arial" w:eastAsia="Times New Roman" w:hAnsi="Arial" w:cs="Arial"/>
          <w:color w:val="222222"/>
          <w:sz w:val="18"/>
          <w:szCs w:val="18"/>
          <w:lang w:eastAsia="es-AR"/>
        </w:rPr>
        <w:br/>
        <w:t>En la elección del IACE (</w:t>
      </w:r>
      <w:proofErr w:type="spellStart"/>
      <w:r w:rsidRPr="00AD0488">
        <w:rPr>
          <w:rFonts w:ascii="Arial" w:eastAsia="Times New Roman" w:hAnsi="Arial" w:cs="Arial"/>
          <w:color w:val="222222"/>
          <w:sz w:val="18"/>
          <w:szCs w:val="18"/>
          <w:lang w:eastAsia="es-AR"/>
        </w:rPr>
        <w:t>donepezilo</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galantamina</w:t>
      </w:r>
      <w:proofErr w:type="spellEnd"/>
      <w:r w:rsidRPr="00AD0488">
        <w:rPr>
          <w:rFonts w:ascii="Arial" w:eastAsia="Times New Roman" w:hAnsi="Arial" w:cs="Arial"/>
          <w:color w:val="222222"/>
          <w:sz w:val="18"/>
          <w:szCs w:val="18"/>
          <w:lang w:eastAsia="es-AR"/>
        </w:rPr>
        <w:t xml:space="preserve"> o </w:t>
      </w:r>
      <w:proofErr w:type="spellStart"/>
      <w:r w:rsidRPr="00AD0488">
        <w:rPr>
          <w:rFonts w:ascii="Arial" w:eastAsia="Times New Roman" w:hAnsi="Arial" w:cs="Arial"/>
          <w:color w:val="222222"/>
          <w:sz w:val="18"/>
          <w:szCs w:val="18"/>
          <w:lang w:eastAsia="es-AR"/>
        </w:rPr>
        <w:t>rivastigmina</w:t>
      </w:r>
      <w:proofErr w:type="spellEnd"/>
      <w:r w:rsidRPr="00AD0488">
        <w:rPr>
          <w:rFonts w:ascii="Arial" w:eastAsia="Times New Roman" w:hAnsi="Arial" w:cs="Arial"/>
          <w:color w:val="222222"/>
          <w:sz w:val="18"/>
          <w:szCs w:val="18"/>
          <w:lang w:eastAsia="es-AR"/>
        </w:rPr>
        <w:t>), el tratamiento generalmente debe iniciarse con el fármaco más barato, a igualdad de eficacia y de seguridad. Sin embargo, una vez iniciado el tratamiento puede ser necesario el cambio a otro IACE por su mejor perfil de efectos secundarios, mejores expectativas de adherencia, existencia de ciertas comorbilidades médicas o la posibilidad de producir interacciones medicamentosas (NICE, 2011).</w:t>
      </w:r>
      <w:r w:rsidRPr="00AD0488">
        <w:rPr>
          <w:rFonts w:ascii="Arial" w:eastAsia="Times New Roman" w:hAnsi="Arial" w:cs="Arial"/>
          <w:color w:val="222222"/>
          <w:sz w:val="18"/>
          <w:szCs w:val="18"/>
          <w:lang w:eastAsia="es-AR"/>
        </w:rPr>
        <w:br/>
      </w:r>
      <w:r w:rsidRPr="00AD0488">
        <w:rPr>
          <w:rFonts w:ascii="Arial" w:eastAsia="Times New Roman" w:hAnsi="Arial" w:cs="Arial"/>
          <w:color w:val="222222"/>
          <w:sz w:val="18"/>
          <w:szCs w:val="18"/>
          <w:lang w:eastAsia="es-AR"/>
        </w:rPr>
        <w:br/>
        <w:t>El tratamiento debe continuarse siempre que tenga un efecto beneficioso sobre la cognición, la funcionalidad global o los síntomas conductuales. Los pacientes que mantienen el tratamiento con IACE deben ser revisados y evaluados periódicamente (NICE, 2011).</w:t>
      </w:r>
      <w:r w:rsidRPr="00AD0488">
        <w:rPr>
          <w:rFonts w:ascii="Arial" w:eastAsia="Times New Roman" w:hAnsi="Arial" w:cs="Arial"/>
          <w:color w:val="222222"/>
          <w:sz w:val="18"/>
          <w:szCs w:val="18"/>
          <w:lang w:eastAsia="es-AR"/>
        </w:rPr>
        <w:br/>
        <w:t> </w:t>
      </w:r>
      <w:r w:rsidRPr="00AD0488">
        <w:rPr>
          <w:rFonts w:ascii="Arial" w:eastAsia="Times New Roman" w:hAnsi="Arial" w:cs="Arial"/>
          <w:color w:val="222222"/>
          <w:sz w:val="18"/>
          <w:szCs w:val="18"/>
          <w:lang w:eastAsia="es-AR"/>
        </w:rPr>
        <w:br/>
        <w:t>La mayoría de las reacciones adversas de los IACE son gastrointestinales (GPC Demencias SNS, 2010) y están mediadas por la vía colinérgica (nauseas, vómitos, diarrea, dolor abdominal, anorexia, fatiga, etc.). Habitualmente son leves, transitorias, dosis-dependientes y se reducen, en las presentaciones por vía oral, administrándolos con las comidas. Se minimizan iniciando el tratamiento con dosis bajas, que se incrementan gradualmente hasta la dosis óptima terapéutica tolerada. Aparecen en aproximadamente el 15% de los pacientes que reciben dosis elevadas.</w:t>
      </w:r>
      <w:r w:rsidRPr="00AD0488">
        <w:rPr>
          <w:rFonts w:ascii="Arial" w:eastAsia="Times New Roman" w:hAnsi="Arial" w:cs="Arial"/>
          <w:color w:val="222222"/>
          <w:sz w:val="18"/>
          <w:szCs w:val="18"/>
          <w:lang w:eastAsia="es-AR"/>
        </w:rPr>
        <w:br/>
      </w:r>
      <w:r w:rsidRPr="00AD0488">
        <w:rPr>
          <w:rFonts w:ascii="Arial" w:eastAsia="Times New Roman" w:hAnsi="Arial" w:cs="Arial"/>
          <w:color w:val="222222"/>
          <w:sz w:val="18"/>
          <w:szCs w:val="18"/>
          <w:lang w:eastAsia="es-AR"/>
        </w:rPr>
        <w:br/>
        <w:t>Se recomienda el tratamiento con </w:t>
      </w:r>
      <w:proofErr w:type="spellStart"/>
      <w:r w:rsidRPr="00AD0488">
        <w:rPr>
          <w:rFonts w:ascii="Arial" w:eastAsia="Times New Roman" w:hAnsi="Arial" w:cs="Arial"/>
          <w:color w:val="222222"/>
          <w:sz w:val="18"/>
          <w:szCs w:val="18"/>
          <w:lang w:eastAsia="es-AR"/>
        </w:rPr>
        <w:fldChar w:fldCharType="begin"/>
      </w:r>
      <w:r w:rsidRPr="00AD0488">
        <w:rPr>
          <w:rFonts w:ascii="Arial" w:eastAsia="Times New Roman" w:hAnsi="Arial" w:cs="Arial"/>
          <w:color w:val="222222"/>
          <w:sz w:val="18"/>
          <w:szCs w:val="18"/>
          <w:lang w:eastAsia="es-AR"/>
        </w:rPr>
        <w:instrText xml:space="preserve"> HYPERLINK "http://www.fisterra.com/herramientas/medicamentos/memantina/" \t "_blank" </w:instrText>
      </w:r>
      <w:r w:rsidRPr="00AD0488">
        <w:rPr>
          <w:rFonts w:ascii="Arial" w:eastAsia="Times New Roman" w:hAnsi="Arial" w:cs="Arial"/>
          <w:color w:val="222222"/>
          <w:sz w:val="18"/>
          <w:szCs w:val="18"/>
          <w:lang w:eastAsia="es-AR"/>
        </w:rPr>
        <w:fldChar w:fldCharType="separate"/>
      </w:r>
      <w:r w:rsidRPr="00AD0488">
        <w:rPr>
          <w:rFonts w:ascii="Arial" w:eastAsia="Times New Roman" w:hAnsi="Arial" w:cs="Arial"/>
          <w:color w:val="008888"/>
          <w:sz w:val="18"/>
          <w:szCs w:val="18"/>
          <w:u w:val="single"/>
          <w:lang w:eastAsia="es-AR"/>
        </w:rPr>
        <w:t>memantina</w:t>
      </w:r>
      <w:proofErr w:type="spellEnd"/>
      <w:r w:rsidRPr="00AD0488">
        <w:rPr>
          <w:rFonts w:ascii="Arial" w:eastAsia="Times New Roman" w:hAnsi="Arial" w:cs="Arial"/>
          <w:color w:val="222222"/>
          <w:sz w:val="18"/>
          <w:szCs w:val="18"/>
          <w:lang w:eastAsia="es-AR"/>
        </w:rPr>
        <w:fldChar w:fldCharType="end"/>
      </w:r>
      <w:r w:rsidRPr="00AD0488">
        <w:rPr>
          <w:rFonts w:ascii="Arial" w:eastAsia="Times New Roman" w:hAnsi="Arial" w:cs="Arial"/>
          <w:color w:val="222222"/>
          <w:sz w:val="18"/>
          <w:szCs w:val="18"/>
          <w:lang w:eastAsia="es-AR"/>
        </w:rPr>
        <w:t> a dosis de 20 mg/día en pacientes con DTA moderada-grave, para el manejo de síntomas funcionales y cognitivos (GPC Demencias SNS, 2010). </w:t>
      </w:r>
      <w:r w:rsidRPr="00AD0488">
        <w:rPr>
          <w:rFonts w:ascii="Arial" w:eastAsia="Times New Roman" w:hAnsi="Arial" w:cs="Arial"/>
          <w:color w:val="222222"/>
          <w:sz w:val="18"/>
          <w:szCs w:val="18"/>
          <w:lang w:eastAsia="es-AR"/>
        </w:rPr>
        <w:br/>
      </w:r>
      <w:r w:rsidRPr="00AD0488">
        <w:rPr>
          <w:rFonts w:ascii="Arial" w:eastAsia="Times New Roman" w:hAnsi="Arial" w:cs="Arial"/>
          <w:color w:val="222222"/>
          <w:sz w:val="18"/>
          <w:szCs w:val="18"/>
          <w:lang w:eastAsia="es-AR"/>
        </w:rPr>
        <w:br/>
        <w:t>Se debe ofrecer valoración, apoyo profesional y tratamiento a los cuidadores de pacientes con DTA mediante programas personalizados de apoyo educativo y emocional (GPC Demencias SNS, 2010).</w:t>
      </w:r>
      <w:r w:rsidRPr="00AD0488">
        <w:rPr>
          <w:rFonts w:ascii="Arial" w:eastAsia="Times New Roman" w:hAnsi="Arial" w:cs="Arial"/>
          <w:color w:val="222222"/>
          <w:sz w:val="18"/>
          <w:szCs w:val="18"/>
          <w:lang w:eastAsia="es-AR"/>
        </w:rPr>
        <w:br/>
      </w:r>
      <w:r w:rsidRPr="00AD0488">
        <w:rPr>
          <w:rFonts w:ascii="Arial" w:eastAsia="Times New Roman" w:hAnsi="Arial" w:cs="Arial"/>
          <w:color w:val="222222"/>
          <w:sz w:val="18"/>
          <w:szCs w:val="18"/>
          <w:lang w:eastAsia="es-AR"/>
        </w:rPr>
        <w:br/>
      </w:r>
      <w:r w:rsidRPr="00AD0488">
        <w:rPr>
          <w:rFonts w:ascii="Arial" w:eastAsia="Times New Roman" w:hAnsi="Arial" w:cs="Arial"/>
          <w:color w:val="222222"/>
          <w:sz w:val="18"/>
          <w:szCs w:val="18"/>
          <w:lang w:eastAsia="es-AR"/>
        </w:rPr>
        <w:lastRenderedPageBreak/>
        <w:t>El facultativo siempre debe investigar el posible maltrato a pacientes con demencia ante sospechas en este sentido (GPC Demencias SNS, 2010).</w:t>
      </w:r>
      <w:r w:rsidRPr="00AD0488">
        <w:rPr>
          <w:rFonts w:ascii="Arial" w:eastAsia="Times New Roman" w:hAnsi="Arial" w:cs="Arial"/>
          <w:color w:val="222222"/>
          <w:sz w:val="18"/>
          <w:szCs w:val="18"/>
          <w:lang w:eastAsia="es-AR"/>
        </w:rPr>
        <w:br/>
      </w:r>
      <w:r w:rsidRPr="00AD0488">
        <w:rPr>
          <w:rFonts w:ascii="Arial" w:eastAsia="Times New Roman" w:hAnsi="Arial" w:cs="Arial"/>
          <w:color w:val="222222"/>
          <w:sz w:val="18"/>
          <w:szCs w:val="18"/>
          <w:lang w:eastAsia="es-AR"/>
        </w:rPr>
        <w:br/>
        <w:t>Se debe prevenir la agresividad o agitación psicomotriz de los pacientes con DTA, con medidas farmacológicas (como los antipsicóticos atípicos), no farmacológicas y de contención mecánica temporal (empleado puntualmente como último recurso) (GPC Demencias SNS, 2010).</w:t>
      </w:r>
      <w:r w:rsidRPr="00AD0488">
        <w:rPr>
          <w:rFonts w:ascii="Arial" w:eastAsia="Times New Roman" w:hAnsi="Arial" w:cs="Arial"/>
          <w:color w:val="222222"/>
          <w:sz w:val="18"/>
          <w:szCs w:val="18"/>
          <w:lang w:eastAsia="es-AR"/>
        </w:rPr>
        <w:br/>
      </w:r>
      <w:r w:rsidRPr="00AD0488">
        <w:rPr>
          <w:rFonts w:ascii="Arial" w:eastAsia="Times New Roman" w:hAnsi="Arial" w:cs="Arial"/>
          <w:color w:val="222222"/>
          <w:sz w:val="18"/>
          <w:szCs w:val="18"/>
          <w:lang w:eastAsia="es-AR"/>
        </w:rPr>
        <w:br/>
        <w:t>Por último señalar que es necesario tener presente y aplicar el principio de no discriminación hacia estos pacientes (las personas con demencia no deben ser excluidas de ningún dispositivo asistencial (NICE, 2011). </w:t>
      </w:r>
    </w:p>
    <w:p w:rsidR="00AD0488" w:rsidRPr="00AD0488" w:rsidRDefault="00FB5C3E" w:rsidP="00AD0488">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33" w:anchor="top" w:tgtFrame="_blank" w:history="1">
        <w:r w:rsidR="00AD0488" w:rsidRPr="00AD0488">
          <w:rPr>
            <w:rFonts w:ascii="Arial" w:eastAsia="Times New Roman" w:hAnsi="Arial" w:cs="Arial"/>
            <w:b/>
            <w:bCs/>
            <w:color w:val="008888"/>
            <w:sz w:val="18"/>
            <w:szCs w:val="18"/>
            <w:u w:val="single"/>
            <w:bdr w:val="none" w:sz="0" w:space="0" w:color="auto" w:frame="1"/>
            <w:lang w:eastAsia="es-AR"/>
          </w:rPr>
          <w:t>subir</w:t>
        </w:r>
      </w:hyperlink>
    </w:p>
    <w:p w:rsidR="00AD0488" w:rsidRPr="00AD0488" w:rsidRDefault="00AD0488" w:rsidP="00AD0488">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7" w:name="x_3366"/>
      <w:bookmarkEnd w:id="7"/>
      <w:r w:rsidRPr="00AD0488">
        <w:rPr>
          <w:rFonts w:ascii="Arial" w:eastAsia="Times New Roman" w:hAnsi="Arial" w:cs="Arial"/>
          <w:b/>
          <w:bCs/>
          <w:color w:val="008888"/>
          <w:sz w:val="21"/>
          <w:szCs w:val="21"/>
          <w:lang w:eastAsia="es-AR"/>
        </w:rPr>
        <w:t>Bibliografía</w:t>
      </w:r>
    </w:p>
    <w:p w:rsidR="00AD0488" w:rsidRPr="00AD0488" w:rsidRDefault="00AD0488" w:rsidP="00AD0488">
      <w:pPr>
        <w:numPr>
          <w:ilvl w:val="0"/>
          <w:numId w:val="3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FB5C3E">
        <w:rPr>
          <w:rFonts w:ascii="Arial" w:eastAsia="Times New Roman" w:hAnsi="Arial" w:cs="Arial"/>
          <w:color w:val="222222"/>
          <w:sz w:val="18"/>
          <w:szCs w:val="18"/>
          <w:lang w:val="en-US" w:eastAsia="es-AR"/>
        </w:rPr>
        <w:t xml:space="preserve">Burns A, O'Brien J; BAP Dementia Consensus group, Auriacombe S, Ballard C, Broich K, Bullock R, Feldman H, et al.; British Association for Psychopharmacology. Clinical practice with anti-dementia drugs: a consensus statement from British Association for Psychopharmacology. </w:t>
      </w:r>
      <w:r w:rsidRPr="00AD0488">
        <w:rPr>
          <w:rFonts w:ascii="Arial" w:eastAsia="Times New Roman" w:hAnsi="Arial" w:cs="Arial"/>
          <w:color w:val="222222"/>
          <w:sz w:val="18"/>
          <w:szCs w:val="18"/>
          <w:lang w:eastAsia="es-AR"/>
        </w:rPr>
        <w:t xml:space="preserve">J </w:t>
      </w:r>
      <w:proofErr w:type="spellStart"/>
      <w:r w:rsidRPr="00AD0488">
        <w:rPr>
          <w:rFonts w:ascii="Arial" w:eastAsia="Times New Roman" w:hAnsi="Arial" w:cs="Arial"/>
          <w:color w:val="222222"/>
          <w:sz w:val="18"/>
          <w:szCs w:val="18"/>
          <w:lang w:eastAsia="es-AR"/>
        </w:rPr>
        <w:t>Psychopharmacol</w:t>
      </w:r>
      <w:proofErr w:type="spellEnd"/>
      <w:r w:rsidRPr="00AD0488">
        <w:rPr>
          <w:rFonts w:ascii="Arial" w:eastAsia="Times New Roman" w:hAnsi="Arial" w:cs="Arial"/>
          <w:color w:val="222222"/>
          <w:sz w:val="18"/>
          <w:szCs w:val="18"/>
          <w:lang w:eastAsia="es-AR"/>
        </w:rPr>
        <w:t xml:space="preserve">. 2006;20(6):732-55. </w:t>
      </w:r>
      <w:proofErr w:type="spellStart"/>
      <w:r w:rsidRPr="00AD0488">
        <w:rPr>
          <w:rFonts w:ascii="Arial" w:eastAsia="Times New Roman" w:hAnsi="Arial" w:cs="Arial"/>
          <w:color w:val="222222"/>
          <w:sz w:val="18"/>
          <w:szCs w:val="18"/>
          <w:lang w:eastAsia="es-AR"/>
        </w:rPr>
        <w:t>PubMed</w:t>
      </w:r>
      <w:proofErr w:type="spellEnd"/>
      <w:r w:rsidRPr="00AD0488">
        <w:rPr>
          <w:rFonts w:ascii="Arial" w:eastAsia="Times New Roman" w:hAnsi="Arial" w:cs="Arial"/>
          <w:color w:val="222222"/>
          <w:sz w:val="18"/>
          <w:szCs w:val="18"/>
          <w:lang w:eastAsia="es-AR"/>
        </w:rPr>
        <w:t> </w:t>
      </w:r>
      <w:hyperlink r:id="rId34" w:tgtFrame="_blank" w:history="1">
        <w:r w:rsidRPr="00AD0488">
          <w:rPr>
            <w:rFonts w:ascii="Arial" w:eastAsia="Times New Roman" w:hAnsi="Arial" w:cs="Arial"/>
            <w:color w:val="008888"/>
            <w:sz w:val="18"/>
            <w:szCs w:val="18"/>
            <w:u w:val="single"/>
            <w:lang w:eastAsia="es-AR"/>
          </w:rPr>
          <w:t>PMID: 17060346</w:t>
        </w:r>
      </w:hyperlink>
    </w:p>
    <w:p w:rsidR="00AD0488" w:rsidRPr="00AD0488" w:rsidRDefault="00AD0488" w:rsidP="00AD0488">
      <w:pPr>
        <w:numPr>
          <w:ilvl w:val="0"/>
          <w:numId w:val="34"/>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AD0488">
        <w:rPr>
          <w:rFonts w:ascii="Arial" w:eastAsia="Times New Roman" w:hAnsi="Arial" w:cs="Arial"/>
          <w:color w:val="222222"/>
          <w:sz w:val="18"/>
          <w:szCs w:val="18"/>
          <w:lang w:eastAsia="es-AR"/>
        </w:rPr>
        <w:t>Farlow</w:t>
      </w:r>
      <w:proofErr w:type="spellEnd"/>
      <w:r w:rsidRPr="00AD0488">
        <w:rPr>
          <w:rFonts w:ascii="Arial" w:eastAsia="Times New Roman" w:hAnsi="Arial" w:cs="Arial"/>
          <w:color w:val="222222"/>
          <w:sz w:val="18"/>
          <w:szCs w:val="18"/>
          <w:lang w:eastAsia="es-AR"/>
        </w:rPr>
        <w:t xml:space="preserve"> MR, Cummings JL. </w:t>
      </w:r>
      <w:proofErr w:type="spellStart"/>
      <w:r w:rsidRPr="00AD0488">
        <w:rPr>
          <w:rFonts w:ascii="Arial" w:eastAsia="Times New Roman" w:hAnsi="Arial" w:cs="Arial"/>
          <w:color w:val="222222"/>
          <w:sz w:val="18"/>
          <w:szCs w:val="18"/>
          <w:lang w:eastAsia="es-AR"/>
        </w:rPr>
        <w:t>Effective</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pharmacologic</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management</w:t>
      </w:r>
      <w:proofErr w:type="spellEnd"/>
      <w:r w:rsidRPr="00AD0488">
        <w:rPr>
          <w:rFonts w:ascii="Arial" w:eastAsia="Times New Roman" w:hAnsi="Arial" w:cs="Arial"/>
          <w:color w:val="222222"/>
          <w:sz w:val="18"/>
          <w:szCs w:val="18"/>
          <w:lang w:eastAsia="es-AR"/>
        </w:rPr>
        <w:t xml:space="preserve"> of </w:t>
      </w:r>
      <w:proofErr w:type="spellStart"/>
      <w:r w:rsidRPr="00AD0488">
        <w:rPr>
          <w:rFonts w:ascii="Arial" w:eastAsia="Times New Roman" w:hAnsi="Arial" w:cs="Arial"/>
          <w:color w:val="222222"/>
          <w:sz w:val="18"/>
          <w:szCs w:val="18"/>
          <w:lang w:eastAsia="es-AR"/>
        </w:rPr>
        <w:t>Alzheimer's</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disease</w:t>
      </w:r>
      <w:proofErr w:type="spellEnd"/>
      <w:r w:rsidRPr="00AD0488">
        <w:rPr>
          <w:rFonts w:ascii="Arial" w:eastAsia="Times New Roman" w:hAnsi="Arial" w:cs="Arial"/>
          <w:color w:val="222222"/>
          <w:sz w:val="18"/>
          <w:szCs w:val="18"/>
          <w:lang w:eastAsia="es-AR"/>
        </w:rPr>
        <w:t xml:space="preserve">. Am J </w:t>
      </w:r>
      <w:proofErr w:type="spellStart"/>
      <w:r w:rsidRPr="00AD0488">
        <w:rPr>
          <w:rFonts w:ascii="Arial" w:eastAsia="Times New Roman" w:hAnsi="Arial" w:cs="Arial"/>
          <w:color w:val="222222"/>
          <w:sz w:val="18"/>
          <w:szCs w:val="18"/>
          <w:lang w:eastAsia="es-AR"/>
        </w:rPr>
        <w:t>Med</w:t>
      </w:r>
      <w:proofErr w:type="spellEnd"/>
      <w:r w:rsidRPr="00AD0488">
        <w:rPr>
          <w:rFonts w:ascii="Arial" w:eastAsia="Times New Roman" w:hAnsi="Arial" w:cs="Arial"/>
          <w:color w:val="222222"/>
          <w:sz w:val="18"/>
          <w:szCs w:val="18"/>
          <w:lang w:eastAsia="es-AR"/>
        </w:rPr>
        <w:t xml:space="preserve">. 2007;120(5):388-97. </w:t>
      </w:r>
      <w:proofErr w:type="spellStart"/>
      <w:r w:rsidRPr="00AD0488">
        <w:rPr>
          <w:rFonts w:ascii="Arial" w:eastAsia="Times New Roman" w:hAnsi="Arial" w:cs="Arial"/>
          <w:color w:val="222222"/>
          <w:sz w:val="18"/>
          <w:szCs w:val="18"/>
          <w:lang w:eastAsia="es-AR"/>
        </w:rPr>
        <w:t>PubMed</w:t>
      </w:r>
      <w:proofErr w:type="spellEnd"/>
      <w:r w:rsidRPr="00AD0488">
        <w:rPr>
          <w:rFonts w:ascii="Arial" w:eastAsia="Times New Roman" w:hAnsi="Arial" w:cs="Arial"/>
          <w:color w:val="222222"/>
          <w:sz w:val="18"/>
          <w:szCs w:val="18"/>
          <w:lang w:eastAsia="es-AR"/>
        </w:rPr>
        <w:t> </w:t>
      </w:r>
      <w:hyperlink r:id="rId35" w:tgtFrame="_blank" w:history="1">
        <w:r w:rsidRPr="00AD0488">
          <w:rPr>
            <w:rFonts w:ascii="Arial" w:eastAsia="Times New Roman" w:hAnsi="Arial" w:cs="Arial"/>
            <w:color w:val="008888"/>
            <w:sz w:val="18"/>
            <w:szCs w:val="18"/>
            <w:u w:val="single"/>
            <w:lang w:eastAsia="es-AR"/>
          </w:rPr>
          <w:t>PMID: 17466645</w:t>
        </w:r>
      </w:hyperlink>
    </w:p>
    <w:p w:rsidR="00AD0488" w:rsidRPr="00AD0488" w:rsidRDefault="00AD0488" w:rsidP="00AD0488">
      <w:pPr>
        <w:numPr>
          <w:ilvl w:val="0"/>
          <w:numId w:val="3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FB5C3E">
        <w:rPr>
          <w:rFonts w:ascii="Arial" w:eastAsia="Times New Roman" w:hAnsi="Arial" w:cs="Arial"/>
          <w:color w:val="222222"/>
          <w:sz w:val="18"/>
          <w:szCs w:val="18"/>
          <w:lang w:val="en-US" w:eastAsia="es-AR"/>
        </w:rPr>
        <w:t xml:space="preserve">Folstein MF, Folstein SE, McHugh PR. </w:t>
      </w:r>
      <w:r w:rsidRPr="00AD0488">
        <w:rPr>
          <w:rFonts w:ascii="Arial" w:eastAsia="Times New Roman" w:hAnsi="Arial" w:cs="Arial"/>
          <w:color w:val="222222"/>
          <w:sz w:val="18"/>
          <w:szCs w:val="18"/>
          <w:lang w:eastAsia="es-AR"/>
        </w:rPr>
        <w:t xml:space="preserve">"Mini-mental </w:t>
      </w:r>
      <w:proofErr w:type="spellStart"/>
      <w:r w:rsidRPr="00AD0488">
        <w:rPr>
          <w:rFonts w:ascii="Arial" w:eastAsia="Times New Roman" w:hAnsi="Arial" w:cs="Arial"/>
          <w:color w:val="222222"/>
          <w:sz w:val="18"/>
          <w:szCs w:val="18"/>
          <w:lang w:eastAsia="es-AR"/>
        </w:rPr>
        <w:t>state</w:t>
      </w:r>
      <w:proofErr w:type="spellEnd"/>
      <w:r w:rsidRPr="00AD0488">
        <w:rPr>
          <w:rFonts w:ascii="Arial" w:eastAsia="Times New Roman" w:hAnsi="Arial" w:cs="Arial"/>
          <w:color w:val="222222"/>
          <w:sz w:val="18"/>
          <w:szCs w:val="18"/>
          <w:lang w:eastAsia="es-AR"/>
        </w:rPr>
        <w:t xml:space="preserve">". </w:t>
      </w:r>
      <w:r w:rsidRPr="00FB5C3E">
        <w:rPr>
          <w:rFonts w:ascii="Arial" w:eastAsia="Times New Roman" w:hAnsi="Arial" w:cs="Arial"/>
          <w:color w:val="222222"/>
          <w:sz w:val="18"/>
          <w:szCs w:val="18"/>
          <w:lang w:val="en-US" w:eastAsia="es-AR"/>
        </w:rPr>
        <w:t xml:space="preserve">A practical method for grading the cognitive state of patients for the clinician. </w:t>
      </w:r>
      <w:r w:rsidRPr="00AD0488">
        <w:rPr>
          <w:rFonts w:ascii="Arial" w:eastAsia="Times New Roman" w:hAnsi="Arial" w:cs="Arial"/>
          <w:color w:val="222222"/>
          <w:sz w:val="18"/>
          <w:szCs w:val="18"/>
          <w:lang w:eastAsia="es-AR"/>
        </w:rPr>
        <w:t xml:space="preserve">J </w:t>
      </w:r>
      <w:proofErr w:type="spellStart"/>
      <w:r w:rsidRPr="00AD0488">
        <w:rPr>
          <w:rFonts w:ascii="Arial" w:eastAsia="Times New Roman" w:hAnsi="Arial" w:cs="Arial"/>
          <w:color w:val="222222"/>
          <w:sz w:val="18"/>
          <w:szCs w:val="18"/>
          <w:lang w:eastAsia="es-AR"/>
        </w:rPr>
        <w:t>Psychiatr</w:t>
      </w:r>
      <w:proofErr w:type="spellEnd"/>
      <w:r w:rsidRPr="00AD0488">
        <w:rPr>
          <w:rFonts w:ascii="Arial" w:eastAsia="Times New Roman" w:hAnsi="Arial" w:cs="Arial"/>
          <w:color w:val="222222"/>
          <w:sz w:val="18"/>
          <w:szCs w:val="18"/>
          <w:lang w:eastAsia="es-AR"/>
        </w:rPr>
        <w:t xml:space="preserve"> Res. 1975;12(3):189-98. </w:t>
      </w:r>
      <w:proofErr w:type="spellStart"/>
      <w:r w:rsidRPr="00AD0488">
        <w:rPr>
          <w:rFonts w:ascii="Arial" w:eastAsia="Times New Roman" w:hAnsi="Arial" w:cs="Arial"/>
          <w:color w:val="222222"/>
          <w:sz w:val="18"/>
          <w:szCs w:val="18"/>
          <w:lang w:eastAsia="es-AR"/>
        </w:rPr>
        <w:t>PubMed</w:t>
      </w:r>
      <w:proofErr w:type="spellEnd"/>
      <w:r w:rsidRPr="00AD0488">
        <w:rPr>
          <w:rFonts w:ascii="Arial" w:eastAsia="Times New Roman" w:hAnsi="Arial" w:cs="Arial"/>
          <w:color w:val="222222"/>
          <w:sz w:val="18"/>
          <w:szCs w:val="18"/>
          <w:lang w:eastAsia="es-AR"/>
        </w:rPr>
        <w:t> </w:t>
      </w:r>
      <w:hyperlink r:id="rId36" w:tgtFrame="_blank" w:history="1">
        <w:r w:rsidRPr="00AD0488">
          <w:rPr>
            <w:rFonts w:ascii="Arial" w:eastAsia="Times New Roman" w:hAnsi="Arial" w:cs="Arial"/>
            <w:color w:val="008888"/>
            <w:sz w:val="18"/>
            <w:szCs w:val="18"/>
            <w:u w:val="single"/>
            <w:lang w:eastAsia="es-AR"/>
          </w:rPr>
          <w:t>PMID: 1202204</w:t>
        </w:r>
      </w:hyperlink>
    </w:p>
    <w:p w:rsidR="00AD0488" w:rsidRPr="00AD0488" w:rsidRDefault="00AD0488" w:rsidP="00AD0488">
      <w:pPr>
        <w:numPr>
          <w:ilvl w:val="0"/>
          <w:numId w:val="3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 xml:space="preserve">Grupo de trabajo de la Guía de Práctica Clínica sobre la atención integral a las personas con enfermedad de Alzheimer y otras demencias. Guía de Práctica Clínica sobre la atención integral a las personas con enfermedad de Alzheimer y otras demencias. Plan de Calidad para el Sistema Nacional de Salud del Ministerio de Sanidad, Política Social e Igualdad. </w:t>
      </w:r>
      <w:proofErr w:type="spellStart"/>
      <w:r w:rsidRPr="00AD0488">
        <w:rPr>
          <w:rFonts w:ascii="Arial" w:eastAsia="Times New Roman" w:hAnsi="Arial" w:cs="Arial"/>
          <w:color w:val="222222"/>
          <w:sz w:val="18"/>
          <w:szCs w:val="18"/>
          <w:lang w:eastAsia="es-AR"/>
        </w:rPr>
        <w:t>Agència</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d´Informació</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Avaluació</w:t>
      </w:r>
      <w:proofErr w:type="spellEnd"/>
      <w:r w:rsidRPr="00AD0488">
        <w:rPr>
          <w:rFonts w:ascii="Arial" w:eastAsia="Times New Roman" w:hAnsi="Arial" w:cs="Arial"/>
          <w:color w:val="222222"/>
          <w:sz w:val="18"/>
          <w:szCs w:val="18"/>
          <w:lang w:eastAsia="es-AR"/>
        </w:rPr>
        <w:t xml:space="preserve"> i </w:t>
      </w:r>
      <w:proofErr w:type="spellStart"/>
      <w:r w:rsidRPr="00AD0488">
        <w:rPr>
          <w:rFonts w:ascii="Arial" w:eastAsia="Times New Roman" w:hAnsi="Arial" w:cs="Arial"/>
          <w:color w:val="222222"/>
          <w:sz w:val="18"/>
          <w:szCs w:val="18"/>
          <w:lang w:eastAsia="es-AR"/>
        </w:rPr>
        <w:t>Qualitat</w:t>
      </w:r>
      <w:proofErr w:type="spellEnd"/>
      <w:r w:rsidRPr="00AD0488">
        <w:rPr>
          <w:rFonts w:ascii="Arial" w:eastAsia="Times New Roman" w:hAnsi="Arial" w:cs="Arial"/>
          <w:color w:val="222222"/>
          <w:sz w:val="18"/>
          <w:szCs w:val="18"/>
          <w:lang w:eastAsia="es-AR"/>
        </w:rPr>
        <w:t xml:space="preserve"> en </w:t>
      </w:r>
      <w:proofErr w:type="spellStart"/>
      <w:r w:rsidRPr="00AD0488">
        <w:rPr>
          <w:rFonts w:ascii="Arial" w:eastAsia="Times New Roman" w:hAnsi="Arial" w:cs="Arial"/>
          <w:color w:val="222222"/>
          <w:sz w:val="18"/>
          <w:szCs w:val="18"/>
          <w:lang w:eastAsia="es-AR"/>
        </w:rPr>
        <w:t>Salut</w:t>
      </w:r>
      <w:proofErr w:type="spellEnd"/>
      <w:r w:rsidRPr="00AD0488">
        <w:rPr>
          <w:rFonts w:ascii="Arial" w:eastAsia="Times New Roman" w:hAnsi="Arial" w:cs="Arial"/>
          <w:color w:val="222222"/>
          <w:sz w:val="18"/>
          <w:szCs w:val="18"/>
          <w:lang w:eastAsia="es-AR"/>
        </w:rPr>
        <w:t xml:space="preserve"> de Cataluña; 2010. Guías de Práctica Clínica en el SNS: AIAQS Núm. 2009/07. </w:t>
      </w:r>
      <w:hyperlink r:id="rId37" w:tgtFrame="_blank" w:history="1">
        <w:r w:rsidRPr="00AD0488">
          <w:rPr>
            <w:rFonts w:ascii="Arial" w:eastAsia="Times New Roman" w:hAnsi="Arial" w:cs="Arial"/>
            <w:color w:val="008888"/>
            <w:sz w:val="18"/>
            <w:szCs w:val="18"/>
            <w:u w:val="single"/>
            <w:lang w:eastAsia="es-AR"/>
          </w:rPr>
          <w:t>Texto completo</w:t>
        </w:r>
      </w:hyperlink>
    </w:p>
    <w:p w:rsidR="00AD0488" w:rsidRPr="00AD0488" w:rsidRDefault="00AD0488" w:rsidP="00AD0488">
      <w:pPr>
        <w:numPr>
          <w:ilvl w:val="0"/>
          <w:numId w:val="34"/>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AD0488">
        <w:rPr>
          <w:rFonts w:ascii="Arial" w:eastAsia="Times New Roman" w:hAnsi="Arial" w:cs="Arial"/>
          <w:color w:val="222222"/>
          <w:sz w:val="18"/>
          <w:szCs w:val="18"/>
          <w:lang w:eastAsia="es-AR"/>
        </w:rPr>
        <w:t>Loy</w:t>
      </w:r>
      <w:proofErr w:type="spellEnd"/>
      <w:r w:rsidRPr="00AD0488">
        <w:rPr>
          <w:rFonts w:ascii="Arial" w:eastAsia="Times New Roman" w:hAnsi="Arial" w:cs="Arial"/>
          <w:color w:val="222222"/>
          <w:sz w:val="18"/>
          <w:szCs w:val="18"/>
          <w:lang w:eastAsia="es-AR"/>
        </w:rPr>
        <w:t xml:space="preserve"> C, Schneider L. </w:t>
      </w:r>
      <w:proofErr w:type="spellStart"/>
      <w:r w:rsidRPr="00AD0488">
        <w:rPr>
          <w:rFonts w:ascii="Arial" w:eastAsia="Times New Roman" w:hAnsi="Arial" w:cs="Arial"/>
          <w:color w:val="222222"/>
          <w:sz w:val="18"/>
          <w:szCs w:val="18"/>
          <w:lang w:eastAsia="es-AR"/>
        </w:rPr>
        <w:t>Galantamina</w:t>
      </w:r>
      <w:proofErr w:type="spellEnd"/>
      <w:r w:rsidRPr="00AD0488">
        <w:rPr>
          <w:rFonts w:ascii="Arial" w:eastAsia="Times New Roman" w:hAnsi="Arial" w:cs="Arial"/>
          <w:color w:val="222222"/>
          <w:sz w:val="18"/>
          <w:szCs w:val="18"/>
          <w:lang w:eastAsia="es-AR"/>
        </w:rPr>
        <w:t xml:space="preserve"> para la enfermedad de Alzheimer y el deterioro cognitivo leve (Revisión Cochrane traducida). En: La Biblioteca Cochrane Plus, 2008 Número 4. Oxford: </w:t>
      </w:r>
      <w:proofErr w:type="spellStart"/>
      <w:r w:rsidRPr="00AD0488">
        <w:rPr>
          <w:rFonts w:ascii="Arial" w:eastAsia="Times New Roman" w:hAnsi="Arial" w:cs="Arial"/>
          <w:color w:val="222222"/>
          <w:sz w:val="18"/>
          <w:szCs w:val="18"/>
          <w:lang w:eastAsia="es-AR"/>
        </w:rPr>
        <w:t>Update</w:t>
      </w:r>
      <w:proofErr w:type="spellEnd"/>
      <w:r w:rsidRPr="00AD0488">
        <w:rPr>
          <w:rFonts w:ascii="Arial" w:eastAsia="Times New Roman" w:hAnsi="Arial" w:cs="Arial"/>
          <w:color w:val="222222"/>
          <w:sz w:val="18"/>
          <w:szCs w:val="18"/>
          <w:lang w:eastAsia="es-AR"/>
        </w:rPr>
        <w:t xml:space="preserve"> Software Ltd. Disponible en: http://www.update-software.com. (Traducida de </w:t>
      </w:r>
      <w:proofErr w:type="spellStart"/>
      <w:r w:rsidRPr="00AD0488">
        <w:rPr>
          <w:rFonts w:ascii="Arial" w:eastAsia="Times New Roman" w:hAnsi="Arial" w:cs="Arial"/>
          <w:color w:val="222222"/>
          <w:sz w:val="18"/>
          <w:szCs w:val="18"/>
          <w:lang w:eastAsia="es-AR"/>
        </w:rPr>
        <w:t>The</w:t>
      </w:r>
      <w:proofErr w:type="spellEnd"/>
      <w:r w:rsidRPr="00AD0488">
        <w:rPr>
          <w:rFonts w:ascii="Arial" w:eastAsia="Times New Roman" w:hAnsi="Arial" w:cs="Arial"/>
          <w:color w:val="222222"/>
          <w:sz w:val="18"/>
          <w:szCs w:val="18"/>
          <w:lang w:eastAsia="es-AR"/>
        </w:rPr>
        <w:t xml:space="preserve"> Cochrane Library, 2008 </w:t>
      </w:r>
      <w:proofErr w:type="spellStart"/>
      <w:r w:rsidRPr="00AD0488">
        <w:rPr>
          <w:rFonts w:ascii="Arial" w:eastAsia="Times New Roman" w:hAnsi="Arial" w:cs="Arial"/>
          <w:color w:val="222222"/>
          <w:sz w:val="18"/>
          <w:szCs w:val="18"/>
          <w:lang w:eastAsia="es-AR"/>
        </w:rPr>
        <w:t>Issue</w:t>
      </w:r>
      <w:proofErr w:type="spellEnd"/>
      <w:r w:rsidRPr="00AD0488">
        <w:rPr>
          <w:rFonts w:ascii="Arial" w:eastAsia="Times New Roman" w:hAnsi="Arial" w:cs="Arial"/>
          <w:color w:val="222222"/>
          <w:sz w:val="18"/>
          <w:szCs w:val="18"/>
          <w:lang w:eastAsia="es-AR"/>
        </w:rPr>
        <w:t xml:space="preserve"> 3. </w:t>
      </w:r>
      <w:proofErr w:type="spellStart"/>
      <w:r w:rsidRPr="00AD0488">
        <w:rPr>
          <w:rFonts w:ascii="Arial" w:eastAsia="Times New Roman" w:hAnsi="Arial" w:cs="Arial"/>
          <w:color w:val="222222"/>
          <w:sz w:val="18"/>
          <w:szCs w:val="18"/>
          <w:lang w:eastAsia="es-AR"/>
        </w:rPr>
        <w:t>Chichester</w:t>
      </w:r>
      <w:proofErr w:type="spellEnd"/>
      <w:r w:rsidRPr="00AD0488">
        <w:rPr>
          <w:rFonts w:ascii="Arial" w:eastAsia="Times New Roman" w:hAnsi="Arial" w:cs="Arial"/>
          <w:color w:val="222222"/>
          <w:sz w:val="18"/>
          <w:szCs w:val="18"/>
          <w:lang w:eastAsia="es-AR"/>
        </w:rPr>
        <w:t xml:space="preserve">, UK: John </w:t>
      </w:r>
      <w:proofErr w:type="spellStart"/>
      <w:r w:rsidRPr="00AD0488">
        <w:rPr>
          <w:rFonts w:ascii="Arial" w:eastAsia="Times New Roman" w:hAnsi="Arial" w:cs="Arial"/>
          <w:color w:val="222222"/>
          <w:sz w:val="18"/>
          <w:szCs w:val="18"/>
          <w:lang w:eastAsia="es-AR"/>
        </w:rPr>
        <w:t>Wiley</w:t>
      </w:r>
      <w:proofErr w:type="spellEnd"/>
      <w:r w:rsidRPr="00AD0488">
        <w:rPr>
          <w:rFonts w:ascii="Arial" w:eastAsia="Times New Roman" w:hAnsi="Arial" w:cs="Arial"/>
          <w:color w:val="222222"/>
          <w:sz w:val="18"/>
          <w:szCs w:val="18"/>
          <w:lang w:eastAsia="es-AR"/>
        </w:rPr>
        <w:t xml:space="preserve"> &amp; </w:t>
      </w:r>
      <w:proofErr w:type="spellStart"/>
      <w:r w:rsidRPr="00AD0488">
        <w:rPr>
          <w:rFonts w:ascii="Arial" w:eastAsia="Times New Roman" w:hAnsi="Arial" w:cs="Arial"/>
          <w:color w:val="222222"/>
          <w:sz w:val="18"/>
          <w:szCs w:val="18"/>
          <w:lang w:eastAsia="es-AR"/>
        </w:rPr>
        <w:t>Sons</w:t>
      </w:r>
      <w:proofErr w:type="spellEnd"/>
      <w:r w:rsidRPr="00AD0488">
        <w:rPr>
          <w:rFonts w:ascii="Arial" w:eastAsia="Times New Roman" w:hAnsi="Arial" w:cs="Arial"/>
          <w:color w:val="222222"/>
          <w:sz w:val="18"/>
          <w:szCs w:val="18"/>
          <w:lang w:eastAsia="es-AR"/>
        </w:rPr>
        <w:t>, Ltd.). </w:t>
      </w:r>
      <w:hyperlink r:id="rId38" w:tgtFrame="_blank" w:history="1">
        <w:r w:rsidRPr="00AD0488">
          <w:rPr>
            <w:rFonts w:ascii="Arial" w:eastAsia="Times New Roman" w:hAnsi="Arial" w:cs="Arial"/>
            <w:color w:val="008888"/>
            <w:sz w:val="18"/>
            <w:szCs w:val="18"/>
            <w:u w:val="single"/>
            <w:lang w:eastAsia="es-AR"/>
          </w:rPr>
          <w:t>Texto completo</w:t>
        </w:r>
      </w:hyperlink>
    </w:p>
    <w:p w:rsidR="00AD0488" w:rsidRPr="00AD0488" w:rsidRDefault="00AD0488" w:rsidP="00AD0488">
      <w:pPr>
        <w:numPr>
          <w:ilvl w:val="0"/>
          <w:numId w:val="34"/>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AD0488">
        <w:rPr>
          <w:rFonts w:ascii="Arial" w:eastAsia="Times New Roman" w:hAnsi="Arial" w:cs="Arial"/>
          <w:color w:val="222222"/>
          <w:sz w:val="18"/>
          <w:szCs w:val="18"/>
          <w:lang w:eastAsia="es-AR"/>
        </w:rPr>
        <w:t>National</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Institute</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for</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Health</w:t>
      </w:r>
      <w:proofErr w:type="spellEnd"/>
      <w:r w:rsidRPr="00AD0488">
        <w:rPr>
          <w:rFonts w:ascii="Arial" w:eastAsia="Times New Roman" w:hAnsi="Arial" w:cs="Arial"/>
          <w:color w:val="222222"/>
          <w:sz w:val="18"/>
          <w:szCs w:val="18"/>
          <w:lang w:eastAsia="es-AR"/>
        </w:rPr>
        <w:t xml:space="preserve"> and </w:t>
      </w:r>
      <w:proofErr w:type="spellStart"/>
      <w:r w:rsidRPr="00AD0488">
        <w:rPr>
          <w:rFonts w:ascii="Arial" w:eastAsia="Times New Roman" w:hAnsi="Arial" w:cs="Arial"/>
          <w:color w:val="222222"/>
          <w:sz w:val="18"/>
          <w:szCs w:val="18"/>
          <w:lang w:eastAsia="es-AR"/>
        </w:rPr>
        <w:t>Clinical</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Excellence</w:t>
      </w:r>
      <w:proofErr w:type="spellEnd"/>
      <w:r w:rsidRPr="00AD0488">
        <w:rPr>
          <w:rFonts w:ascii="Arial" w:eastAsia="Times New Roman" w:hAnsi="Arial" w:cs="Arial"/>
          <w:color w:val="222222"/>
          <w:sz w:val="18"/>
          <w:szCs w:val="18"/>
          <w:lang w:eastAsia="es-AR"/>
        </w:rPr>
        <w:t xml:space="preserve"> (NICE). </w:t>
      </w:r>
      <w:proofErr w:type="spellStart"/>
      <w:r w:rsidRPr="00AD0488">
        <w:rPr>
          <w:rFonts w:ascii="Arial" w:eastAsia="Times New Roman" w:hAnsi="Arial" w:cs="Arial"/>
          <w:color w:val="222222"/>
          <w:sz w:val="18"/>
          <w:szCs w:val="18"/>
          <w:lang w:eastAsia="es-AR"/>
        </w:rPr>
        <w:t>Dementia</w:t>
      </w:r>
      <w:proofErr w:type="spellEnd"/>
      <w:r w:rsidRPr="00AD0488">
        <w:rPr>
          <w:rFonts w:ascii="Arial" w:eastAsia="Times New Roman" w:hAnsi="Arial" w:cs="Arial"/>
          <w:color w:val="222222"/>
          <w:sz w:val="18"/>
          <w:szCs w:val="18"/>
          <w:lang w:eastAsia="es-AR"/>
        </w:rPr>
        <w:t>. NICE-</w:t>
      </w:r>
      <w:proofErr w:type="spellStart"/>
      <w:r w:rsidRPr="00AD0488">
        <w:rPr>
          <w:rFonts w:ascii="Arial" w:eastAsia="Times New Roman" w:hAnsi="Arial" w:cs="Arial"/>
          <w:color w:val="222222"/>
          <w:sz w:val="18"/>
          <w:szCs w:val="18"/>
          <w:lang w:eastAsia="es-AR"/>
        </w:rPr>
        <w:t>clinical</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guideline</w:t>
      </w:r>
      <w:proofErr w:type="spellEnd"/>
      <w:r w:rsidRPr="00AD0488">
        <w:rPr>
          <w:rFonts w:ascii="Arial" w:eastAsia="Times New Roman" w:hAnsi="Arial" w:cs="Arial"/>
          <w:color w:val="222222"/>
          <w:sz w:val="18"/>
          <w:szCs w:val="18"/>
          <w:lang w:eastAsia="es-AR"/>
        </w:rPr>
        <w:t xml:space="preserve"> 42; </w:t>
      </w:r>
      <w:proofErr w:type="spellStart"/>
      <w:r w:rsidRPr="00AD0488">
        <w:rPr>
          <w:rFonts w:ascii="Arial" w:eastAsia="Times New Roman" w:hAnsi="Arial" w:cs="Arial"/>
          <w:color w:val="222222"/>
          <w:sz w:val="18"/>
          <w:szCs w:val="18"/>
          <w:lang w:eastAsia="es-AR"/>
        </w:rPr>
        <w:t>November</w:t>
      </w:r>
      <w:proofErr w:type="spellEnd"/>
      <w:r w:rsidRPr="00AD0488">
        <w:rPr>
          <w:rFonts w:ascii="Arial" w:eastAsia="Times New Roman" w:hAnsi="Arial" w:cs="Arial"/>
          <w:color w:val="222222"/>
          <w:sz w:val="18"/>
          <w:szCs w:val="18"/>
          <w:lang w:eastAsia="es-AR"/>
        </w:rPr>
        <w:t xml:space="preserve"> 2006 (</w:t>
      </w:r>
      <w:proofErr w:type="spellStart"/>
      <w:r w:rsidRPr="00AD0488">
        <w:rPr>
          <w:rFonts w:ascii="Arial" w:eastAsia="Times New Roman" w:hAnsi="Arial" w:cs="Arial"/>
          <w:color w:val="222222"/>
          <w:sz w:val="18"/>
          <w:szCs w:val="18"/>
          <w:lang w:eastAsia="es-AR"/>
        </w:rPr>
        <w:t>revised</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March</w:t>
      </w:r>
      <w:proofErr w:type="spellEnd"/>
      <w:r w:rsidRPr="00AD0488">
        <w:rPr>
          <w:rFonts w:ascii="Arial" w:eastAsia="Times New Roman" w:hAnsi="Arial" w:cs="Arial"/>
          <w:color w:val="222222"/>
          <w:sz w:val="18"/>
          <w:szCs w:val="18"/>
          <w:lang w:eastAsia="es-AR"/>
        </w:rPr>
        <w:t xml:space="preserve"> 2011).</w:t>
      </w:r>
      <w:hyperlink r:id="rId39" w:tgtFrame="_blank" w:history="1">
        <w:r w:rsidRPr="00AD0488">
          <w:rPr>
            <w:rFonts w:ascii="Arial" w:eastAsia="Times New Roman" w:hAnsi="Arial" w:cs="Arial"/>
            <w:color w:val="008888"/>
            <w:sz w:val="18"/>
            <w:szCs w:val="18"/>
            <w:u w:val="single"/>
            <w:lang w:eastAsia="es-AR"/>
          </w:rPr>
          <w:t>Texto completo</w:t>
        </w:r>
      </w:hyperlink>
    </w:p>
    <w:p w:rsidR="00AD0488" w:rsidRPr="00AD0488" w:rsidRDefault="00AD0488" w:rsidP="00AD0488">
      <w:pPr>
        <w:numPr>
          <w:ilvl w:val="0"/>
          <w:numId w:val="34"/>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AD0488">
        <w:rPr>
          <w:rFonts w:ascii="Arial" w:eastAsia="Times New Roman" w:hAnsi="Arial" w:cs="Arial"/>
          <w:color w:val="222222"/>
          <w:sz w:val="18"/>
          <w:szCs w:val="18"/>
          <w:lang w:eastAsia="es-AR"/>
        </w:rPr>
        <w:t>National</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Institute</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for</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Health</w:t>
      </w:r>
      <w:proofErr w:type="spellEnd"/>
      <w:r w:rsidRPr="00AD0488">
        <w:rPr>
          <w:rFonts w:ascii="Arial" w:eastAsia="Times New Roman" w:hAnsi="Arial" w:cs="Arial"/>
          <w:color w:val="222222"/>
          <w:sz w:val="18"/>
          <w:szCs w:val="18"/>
          <w:lang w:eastAsia="es-AR"/>
        </w:rPr>
        <w:t xml:space="preserve"> and </w:t>
      </w:r>
      <w:proofErr w:type="spellStart"/>
      <w:r w:rsidRPr="00AD0488">
        <w:rPr>
          <w:rFonts w:ascii="Arial" w:eastAsia="Times New Roman" w:hAnsi="Arial" w:cs="Arial"/>
          <w:color w:val="222222"/>
          <w:sz w:val="18"/>
          <w:szCs w:val="18"/>
          <w:lang w:eastAsia="es-AR"/>
        </w:rPr>
        <w:t>Clinical</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Excellence</w:t>
      </w:r>
      <w:proofErr w:type="spellEnd"/>
      <w:r w:rsidRPr="00AD0488">
        <w:rPr>
          <w:rFonts w:ascii="Arial" w:eastAsia="Times New Roman" w:hAnsi="Arial" w:cs="Arial"/>
          <w:color w:val="222222"/>
          <w:sz w:val="18"/>
          <w:szCs w:val="18"/>
          <w:lang w:eastAsia="es-AR"/>
        </w:rPr>
        <w:t xml:space="preserve"> (NICE). </w:t>
      </w:r>
      <w:proofErr w:type="spellStart"/>
      <w:r w:rsidRPr="00AD0488">
        <w:rPr>
          <w:rFonts w:ascii="Arial" w:eastAsia="Times New Roman" w:hAnsi="Arial" w:cs="Arial"/>
          <w:color w:val="222222"/>
          <w:sz w:val="18"/>
          <w:szCs w:val="18"/>
          <w:lang w:eastAsia="es-AR"/>
        </w:rPr>
        <w:t>Donepezil</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galantamine</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rivastigmine</w:t>
      </w:r>
      <w:proofErr w:type="spellEnd"/>
      <w:r w:rsidRPr="00AD0488">
        <w:rPr>
          <w:rFonts w:ascii="Arial" w:eastAsia="Times New Roman" w:hAnsi="Arial" w:cs="Arial"/>
          <w:color w:val="222222"/>
          <w:sz w:val="18"/>
          <w:szCs w:val="18"/>
          <w:lang w:eastAsia="es-AR"/>
        </w:rPr>
        <w:t xml:space="preserve"> and </w:t>
      </w:r>
      <w:proofErr w:type="spellStart"/>
      <w:r w:rsidRPr="00AD0488">
        <w:rPr>
          <w:rFonts w:ascii="Arial" w:eastAsia="Times New Roman" w:hAnsi="Arial" w:cs="Arial"/>
          <w:color w:val="222222"/>
          <w:sz w:val="18"/>
          <w:szCs w:val="18"/>
          <w:lang w:eastAsia="es-AR"/>
        </w:rPr>
        <w:t>memantine</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for</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the</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treatment</w:t>
      </w:r>
      <w:proofErr w:type="spellEnd"/>
      <w:r w:rsidRPr="00AD0488">
        <w:rPr>
          <w:rFonts w:ascii="Arial" w:eastAsia="Times New Roman" w:hAnsi="Arial" w:cs="Arial"/>
          <w:color w:val="222222"/>
          <w:sz w:val="18"/>
          <w:szCs w:val="18"/>
          <w:lang w:eastAsia="es-AR"/>
        </w:rPr>
        <w:t xml:space="preserve"> of </w:t>
      </w:r>
      <w:proofErr w:type="spellStart"/>
      <w:r w:rsidRPr="00AD0488">
        <w:rPr>
          <w:rFonts w:ascii="Arial" w:eastAsia="Times New Roman" w:hAnsi="Arial" w:cs="Arial"/>
          <w:color w:val="222222"/>
          <w:sz w:val="18"/>
          <w:szCs w:val="18"/>
          <w:lang w:eastAsia="es-AR"/>
        </w:rPr>
        <w:t>Alzheimer's</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disease</w:t>
      </w:r>
      <w:proofErr w:type="spellEnd"/>
      <w:r w:rsidRPr="00AD0488">
        <w:rPr>
          <w:rFonts w:ascii="Arial" w:eastAsia="Times New Roman" w:hAnsi="Arial" w:cs="Arial"/>
          <w:color w:val="222222"/>
          <w:sz w:val="18"/>
          <w:szCs w:val="18"/>
          <w:lang w:eastAsia="es-AR"/>
        </w:rPr>
        <w:t xml:space="preserve">. London (UK): </w:t>
      </w:r>
      <w:proofErr w:type="spellStart"/>
      <w:r w:rsidRPr="00AD0488">
        <w:rPr>
          <w:rFonts w:ascii="Arial" w:eastAsia="Times New Roman" w:hAnsi="Arial" w:cs="Arial"/>
          <w:color w:val="222222"/>
          <w:sz w:val="18"/>
          <w:szCs w:val="18"/>
          <w:lang w:eastAsia="es-AR"/>
        </w:rPr>
        <w:t>National</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Institute</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for</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Health</w:t>
      </w:r>
      <w:proofErr w:type="spellEnd"/>
      <w:r w:rsidRPr="00AD0488">
        <w:rPr>
          <w:rFonts w:ascii="Arial" w:eastAsia="Times New Roman" w:hAnsi="Arial" w:cs="Arial"/>
          <w:color w:val="222222"/>
          <w:sz w:val="18"/>
          <w:szCs w:val="18"/>
          <w:lang w:eastAsia="es-AR"/>
        </w:rPr>
        <w:t xml:space="preserve"> and </w:t>
      </w:r>
      <w:proofErr w:type="spellStart"/>
      <w:r w:rsidRPr="00AD0488">
        <w:rPr>
          <w:rFonts w:ascii="Arial" w:eastAsia="Times New Roman" w:hAnsi="Arial" w:cs="Arial"/>
          <w:color w:val="222222"/>
          <w:sz w:val="18"/>
          <w:szCs w:val="18"/>
          <w:lang w:eastAsia="es-AR"/>
        </w:rPr>
        <w:t>Clinical</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Excellence</w:t>
      </w:r>
      <w:proofErr w:type="spellEnd"/>
      <w:r w:rsidRPr="00AD0488">
        <w:rPr>
          <w:rFonts w:ascii="Arial" w:eastAsia="Times New Roman" w:hAnsi="Arial" w:cs="Arial"/>
          <w:color w:val="222222"/>
          <w:sz w:val="18"/>
          <w:szCs w:val="18"/>
          <w:lang w:eastAsia="es-AR"/>
        </w:rPr>
        <w:t xml:space="preserve"> (NICE); 2011 Mar. 84 p. (</w:t>
      </w:r>
      <w:proofErr w:type="spellStart"/>
      <w:r w:rsidRPr="00AD0488">
        <w:rPr>
          <w:rFonts w:ascii="Arial" w:eastAsia="Times New Roman" w:hAnsi="Arial" w:cs="Arial"/>
          <w:color w:val="222222"/>
          <w:sz w:val="18"/>
          <w:szCs w:val="18"/>
          <w:lang w:eastAsia="es-AR"/>
        </w:rPr>
        <w:t>Technology</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appraisal</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guidance</w:t>
      </w:r>
      <w:proofErr w:type="spellEnd"/>
      <w:r w:rsidRPr="00AD0488">
        <w:rPr>
          <w:rFonts w:ascii="Arial" w:eastAsia="Times New Roman" w:hAnsi="Arial" w:cs="Arial"/>
          <w:color w:val="222222"/>
          <w:sz w:val="18"/>
          <w:szCs w:val="18"/>
          <w:lang w:eastAsia="es-AR"/>
        </w:rPr>
        <w:t>; no. 217). </w:t>
      </w:r>
      <w:hyperlink r:id="rId40" w:tgtFrame="_blank" w:history="1">
        <w:r w:rsidRPr="00AD0488">
          <w:rPr>
            <w:rFonts w:ascii="Arial" w:eastAsia="Times New Roman" w:hAnsi="Arial" w:cs="Arial"/>
            <w:color w:val="008888"/>
            <w:sz w:val="18"/>
            <w:szCs w:val="18"/>
            <w:u w:val="single"/>
            <w:lang w:eastAsia="es-AR"/>
          </w:rPr>
          <w:t>Texto completo</w:t>
        </w:r>
      </w:hyperlink>
    </w:p>
    <w:p w:rsidR="00AD0488" w:rsidRPr="00AD0488" w:rsidRDefault="00AD0488" w:rsidP="00AD0488">
      <w:pPr>
        <w:numPr>
          <w:ilvl w:val="0"/>
          <w:numId w:val="34"/>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AD0488">
        <w:rPr>
          <w:rFonts w:ascii="Arial" w:eastAsia="Times New Roman" w:hAnsi="Arial" w:cs="Arial"/>
          <w:color w:val="222222"/>
          <w:sz w:val="18"/>
          <w:szCs w:val="18"/>
          <w:lang w:eastAsia="es-AR"/>
        </w:rPr>
        <w:t>Russ</w:t>
      </w:r>
      <w:proofErr w:type="spellEnd"/>
      <w:r w:rsidRPr="00AD0488">
        <w:rPr>
          <w:rFonts w:ascii="Arial" w:eastAsia="Times New Roman" w:hAnsi="Arial" w:cs="Arial"/>
          <w:color w:val="222222"/>
          <w:sz w:val="18"/>
          <w:szCs w:val="18"/>
          <w:lang w:eastAsia="es-AR"/>
        </w:rPr>
        <w:t xml:space="preserve"> TC, </w:t>
      </w:r>
      <w:proofErr w:type="spellStart"/>
      <w:r w:rsidRPr="00AD0488">
        <w:rPr>
          <w:rFonts w:ascii="Arial" w:eastAsia="Times New Roman" w:hAnsi="Arial" w:cs="Arial"/>
          <w:color w:val="222222"/>
          <w:sz w:val="18"/>
          <w:szCs w:val="18"/>
          <w:lang w:eastAsia="es-AR"/>
        </w:rPr>
        <w:t>Morling</w:t>
      </w:r>
      <w:proofErr w:type="spellEnd"/>
      <w:r w:rsidRPr="00AD0488">
        <w:rPr>
          <w:rFonts w:ascii="Arial" w:eastAsia="Times New Roman" w:hAnsi="Arial" w:cs="Arial"/>
          <w:color w:val="222222"/>
          <w:sz w:val="18"/>
          <w:szCs w:val="18"/>
          <w:lang w:eastAsia="es-AR"/>
        </w:rPr>
        <w:t xml:space="preserve"> JR. </w:t>
      </w:r>
      <w:proofErr w:type="spellStart"/>
      <w:r w:rsidRPr="00AD0488">
        <w:rPr>
          <w:rFonts w:ascii="Arial" w:eastAsia="Times New Roman" w:hAnsi="Arial" w:cs="Arial"/>
          <w:color w:val="222222"/>
          <w:sz w:val="18"/>
          <w:szCs w:val="18"/>
          <w:lang w:eastAsia="es-AR"/>
        </w:rPr>
        <w:t>Cholinesterase</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inhibitors</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for</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mild</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cognitive</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impairment</w:t>
      </w:r>
      <w:proofErr w:type="spellEnd"/>
      <w:r w:rsidRPr="00AD0488">
        <w:rPr>
          <w:rFonts w:ascii="Arial" w:eastAsia="Times New Roman" w:hAnsi="Arial" w:cs="Arial"/>
          <w:color w:val="222222"/>
          <w:sz w:val="18"/>
          <w:szCs w:val="18"/>
          <w:lang w:eastAsia="es-AR"/>
        </w:rPr>
        <w:t xml:space="preserve">. Cochrane </w:t>
      </w:r>
      <w:proofErr w:type="spellStart"/>
      <w:r w:rsidRPr="00AD0488">
        <w:rPr>
          <w:rFonts w:ascii="Arial" w:eastAsia="Times New Roman" w:hAnsi="Arial" w:cs="Arial"/>
          <w:color w:val="222222"/>
          <w:sz w:val="18"/>
          <w:szCs w:val="18"/>
          <w:lang w:eastAsia="es-AR"/>
        </w:rPr>
        <w:t>Database</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Syst</w:t>
      </w:r>
      <w:proofErr w:type="spellEnd"/>
      <w:r w:rsidRPr="00AD0488">
        <w:rPr>
          <w:rFonts w:ascii="Arial" w:eastAsia="Times New Roman" w:hAnsi="Arial" w:cs="Arial"/>
          <w:color w:val="222222"/>
          <w:sz w:val="18"/>
          <w:szCs w:val="18"/>
          <w:lang w:eastAsia="es-AR"/>
        </w:rPr>
        <w:t xml:space="preserve"> Rev. 2012;9:CD009132. </w:t>
      </w:r>
      <w:proofErr w:type="spellStart"/>
      <w:r w:rsidRPr="00AD0488">
        <w:rPr>
          <w:rFonts w:ascii="Arial" w:eastAsia="Times New Roman" w:hAnsi="Arial" w:cs="Arial"/>
          <w:color w:val="222222"/>
          <w:sz w:val="18"/>
          <w:szCs w:val="18"/>
          <w:lang w:eastAsia="es-AR"/>
        </w:rPr>
        <w:t>doi</w:t>
      </w:r>
      <w:proofErr w:type="spellEnd"/>
      <w:r w:rsidRPr="00AD0488">
        <w:rPr>
          <w:rFonts w:ascii="Arial" w:eastAsia="Times New Roman" w:hAnsi="Arial" w:cs="Arial"/>
          <w:color w:val="222222"/>
          <w:sz w:val="18"/>
          <w:szCs w:val="18"/>
          <w:lang w:eastAsia="es-AR"/>
        </w:rPr>
        <w:t>: 10.1002/14651858.CD009132.pub2.</w:t>
      </w:r>
    </w:p>
    <w:p w:rsidR="00AD0488" w:rsidRPr="00AD0488" w:rsidRDefault="00AD0488" w:rsidP="00AD0488">
      <w:pPr>
        <w:numPr>
          <w:ilvl w:val="0"/>
          <w:numId w:val="3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 xml:space="preserve">Scottish </w:t>
      </w:r>
      <w:proofErr w:type="spellStart"/>
      <w:r w:rsidRPr="00AD0488">
        <w:rPr>
          <w:rFonts w:ascii="Arial" w:eastAsia="Times New Roman" w:hAnsi="Arial" w:cs="Arial"/>
          <w:color w:val="222222"/>
          <w:sz w:val="18"/>
          <w:szCs w:val="18"/>
          <w:lang w:eastAsia="es-AR"/>
        </w:rPr>
        <w:t>Intercollegiate</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Guidelines</w:t>
      </w:r>
      <w:proofErr w:type="spellEnd"/>
      <w:r w:rsidRPr="00AD0488">
        <w:rPr>
          <w:rFonts w:ascii="Arial" w:eastAsia="Times New Roman" w:hAnsi="Arial" w:cs="Arial"/>
          <w:color w:val="222222"/>
          <w:sz w:val="18"/>
          <w:szCs w:val="18"/>
          <w:lang w:eastAsia="es-AR"/>
        </w:rPr>
        <w:t xml:space="preserve"> Network. Management of </w:t>
      </w:r>
      <w:proofErr w:type="spellStart"/>
      <w:r w:rsidRPr="00AD0488">
        <w:rPr>
          <w:rFonts w:ascii="Arial" w:eastAsia="Times New Roman" w:hAnsi="Arial" w:cs="Arial"/>
          <w:color w:val="222222"/>
          <w:sz w:val="18"/>
          <w:szCs w:val="18"/>
          <w:lang w:eastAsia="es-AR"/>
        </w:rPr>
        <w:t>patients</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with</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dementia</w:t>
      </w:r>
      <w:proofErr w:type="spellEnd"/>
      <w:r w:rsidRPr="00AD0488">
        <w:rPr>
          <w:rFonts w:ascii="Arial" w:eastAsia="Times New Roman" w:hAnsi="Arial" w:cs="Arial"/>
          <w:color w:val="222222"/>
          <w:sz w:val="18"/>
          <w:szCs w:val="18"/>
          <w:lang w:eastAsia="es-AR"/>
        </w:rPr>
        <w:t xml:space="preserve"> [Internet]. SIGN- 86; </w:t>
      </w:r>
      <w:proofErr w:type="spellStart"/>
      <w:r w:rsidRPr="00AD0488">
        <w:rPr>
          <w:rFonts w:ascii="Arial" w:eastAsia="Times New Roman" w:hAnsi="Arial" w:cs="Arial"/>
          <w:color w:val="222222"/>
          <w:sz w:val="18"/>
          <w:szCs w:val="18"/>
          <w:lang w:eastAsia="es-AR"/>
        </w:rPr>
        <w:t>February</w:t>
      </w:r>
      <w:proofErr w:type="spellEnd"/>
      <w:r w:rsidRPr="00AD0488">
        <w:rPr>
          <w:rFonts w:ascii="Arial" w:eastAsia="Times New Roman" w:hAnsi="Arial" w:cs="Arial"/>
          <w:color w:val="222222"/>
          <w:sz w:val="18"/>
          <w:szCs w:val="18"/>
          <w:lang w:eastAsia="es-AR"/>
        </w:rPr>
        <w:t xml:space="preserve"> 2006 [acceso 8/01/2013]. Disponible en: </w:t>
      </w:r>
      <w:hyperlink r:id="rId41" w:tgtFrame="_blank" w:history="1">
        <w:r w:rsidRPr="00AD0488">
          <w:rPr>
            <w:rFonts w:ascii="Arial" w:eastAsia="Times New Roman" w:hAnsi="Arial" w:cs="Arial"/>
            <w:color w:val="008888"/>
            <w:sz w:val="18"/>
            <w:szCs w:val="18"/>
            <w:u w:val="single"/>
            <w:lang w:eastAsia="es-AR"/>
          </w:rPr>
          <w:t>http://www.sign.ac.uk/pdf/sign86.pdf</w:t>
        </w:r>
      </w:hyperlink>
    </w:p>
    <w:p w:rsidR="00AD0488" w:rsidRPr="00AD0488" w:rsidRDefault="00AD0488" w:rsidP="00AD0488">
      <w:pPr>
        <w:numPr>
          <w:ilvl w:val="0"/>
          <w:numId w:val="34"/>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AD0488">
        <w:rPr>
          <w:rFonts w:ascii="Arial" w:eastAsia="Times New Roman" w:hAnsi="Arial" w:cs="Arial"/>
          <w:color w:val="222222"/>
          <w:sz w:val="18"/>
          <w:szCs w:val="18"/>
          <w:lang w:eastAsia="es-AR"/>
        </w:rPr>
        <w:t>Seitz</w:t>
      </w:r>
      <w:proofErr w:type="spellEnd"/>
      <w:r w:rsidRPr="00AD0488">
        <w:rPr>
          <w:rFonts w:ascii="Arial" w:eastAsia="Times New Roman" w:hAnsi="Arial" w:cs="Arial"/>
          <w:color w:val="222222"/>
          <w:sz w:val="18"/>
          <w:szCs w:val="18"/>
          <w:lang w:eastAsia="es-AR"/>
        </w:rPr>
        <w:t xml:space="preserve"> D, </w:t>
      </w:r>
      <w:proofErr w:type="spellStart"/>
      <w:r w:rsidRPr="00AD0488">
        <w:rPr>
          <w:rFonts w:ascii="Arial" w:eastAsia="Times New Roman" w:hAnsi="Arial" w:cs="Arial"/>
          <w:color w:val="222222"/>
          <w:sz w:val="18"/>
          <w:szCs w:val="18"/>
          <w:lang w:eastAsia="es-AR"/>
        </w:rPr>
        <w:t>Adunuri</w:t>
      </w:r>
      <w:proofErr w:type="spellEnd"/>
      <w:r w:rsidRPr="00AD0488">
        <w:rPr>
          <w:rFonts w:ascii="Arial" w:eastAsia="Times New Roman" w:hAnsi="Arial" w:cs="Arial"/>
          <w:color w:val="222222"/>
          <w:sz w:val="18"/>
          <w:szCs w:val="18"/>
          <w:lang w:eastAsia="es-AR"/>
        </w:rPr>
        <w:t xml:space="preserve"> N, Gill S, </w:t>
      </w:r>
      <w:proofErr w:type="spellStart"/>
      <w:r w:rsidRPr="00AD0488">
        <w:rPr>
          <w:rFonts w:ascii="Arial" w:eastAsia="Times New Roman" w:hAnsi="Arial" w:cs="Arial"/>
          <w:color w:val="222222"/>
          <w:sz w:val="18"/>
          <w:szCs w:val="18"/>
          <w:lang w:eastAsia="es-AR"/>
        </w:rPr>
        <w:t>Gruneir</w:t>
      </w:r>
      <w:proofErr w:type="spellEnd"/>
      <w:r w:rsidRPr="00AD0488">
        <w:rPr>
          <w:rFonts w:ascii="Arial" w:eastAsia="Times New Roman" w:hAnsi="Arial" w:cs="Arial"/>
          <w:color w:val="222222"/>
          <w:sz w:val="18"/>
          <w:szCs w:val="18"/>
          <w:lang w:eastAsia="es-AR"/>
        </w:rPr>
        <w:t xml:space="preserve"> A, </w:t>
      </w:r>
      <w:proofErr w:type="spellStart"/>
      <w:r w:rsidRPr="00AD0488">
        <w:rPr>
          <w:rFonts w:ascii="Arial" w:eastAsia="Times New Roman" w:hAnsi="Arial" w:cs="Arial"/>
          <w:color w:val="222222"/>
          <w:sz w:val="18"/>
          <w:szCs w:val="18"/>
          <w:lang w:eastAsia="es-AR"/>
        </w:rPr>
        <w:t>Herrmann</w:t>
      </w:r>
      <w:proofErr w:type="spellEnd"/>
      <w:r w:rsidRPr="00AD0488">
        <w:rPr>
          <w:rFonts w:ascii="Arial" w:eastAsia="Times New Roman" w:hAnsi="Arial" w:cs="Arial"/>
          <w:color w:val="222222"/>
          <w:sz w:val="18"/>
          <w:szCs w:val="18"/>
          <w:lang w:eastAsia="es-AR"/>
        </w:rPr>
        <w:t xml:space="preserve"> N, </w:t>
      </w:r>
      <w:proofErr w:type="spellStart"/>
      <w:r w:rsidRPr="00AD0488">
        <w:rPr>
          <w:rFonts w:ascii="Arial" w:eastAsia="Times New Roman" w:hAnsi="Arial" w:cs="Arial"/>
          <w:color w:val="222222"/>
          <w:sz w:val="18"/>
          <w:szCs w:val="18"/>
          <w:lang w:eastAsia="es-AR"/>
        </w:rPr>
        <w:t>Rochon</w:t>
      </w:r>
      <w:proofErr w:type="spellEnd"/>
      <w:r w:rsidRPr="00AD0488">
        <w:rPr>
          <w:rFonts w:ascii="Arial" w:eastAsia="Times New Roman" w:hAnsi="Arial" w:cs="Arial"/>
          <w:color w:val="222222"/>
          <w:sz w:val="18"/>
          <w:szCs w:val="18"/>
          <w:lang w:eastAsia="es-AR"/>
        </w:rPr>
        <w:t xml:space="preserve"> P. Antidepresivos para la agitación y la psicosis en la demencia. Cochrane </w:t>
      </w:r>
      <w:proofErr w:type="spellStart"/>
      <w:r w:rsidRPr="00AD0488">
        <w:rPr>
          <w:rFonts w:ascii="Arial" w:eastAsia="Times New Roman" w:hAnsi="Arial" w:cs="Arial"/>
          <w:color w:val="222222"/>
          <w:sz w:val="18"/>
          <w:szCs w:val="18"/>
          <w:lang w:eastAsia="es-AR"/>
        </w:rPr>
        <w:t>Database</w:t>
      </w:r>
      <w:proofErr w:type="spellEnd"/>
      <w:r w:rsidRPr="00AD0488">
        <w:rPr>
          <w:rFonts w:ascii="Arial" w:eastAsia="Times New Roman" w:hAnsi="Arial" w:cs="Arial"/>
          <w:color w:val="222222"/>
          <w:sz w:val="18"/>
          <w:szCs w:val="18"/>
          <w:lang w:eastAsia="es-AR"/>
        </w:rPr>
        <w:t xml:space="preserve"> of </w:t>
      </w:r>
      <w:proofErr w:type="spellStart"/>
      <w:r w:rsidRPr="00AD0488">
        <w:rPr>
          <w:rFonts w:ascii="Arial" w:eastAsia="Times New Roman" w:hAnsi="Arial" w:cs="Arial"/>
          <w:color w:val="222222"/>
          <w:sz w:val="18"/>
          <w:szCs w:val="18"/>
          <w:lang w:eastAsia="es-AR"/>
        </w:rPr>
        <w:t>Systematic</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Reviews</w:t>
      </w:r>
      <w:proofErr w:type="spellEnd"/>
      <w:r w:rsidRPr="00AD0488">
        <w:rPr>
          <w:rFonts w:ascii="Arial" w:eastAsia="Times New Roman" w:hAnsi="Arial" w:cs="Arial"/>
          <w:color w:val="222222"/>
          <w:sz w:val="18"/>
          <w:szCs w:val="18"/>
          <w:lang w:eastAsia="es-AR"/>
        </w:rPr>
        <w:t xml:space="preserve"> 2011 </w:t>
      </w:r>
      <w:proofErr w:type="spellStart"/>
      <w:r w:rsidRPr="00AD0488">
        <w:rPr>
          <w:rFonts w:ascii="Arial" w:eastAsia="Times New Roman" w:hAnsi="Arial" w:cs="Arial"/>
          <w:color w:val="222222"/>
          <w:sz w:val="18"/>
          <w:szCs w:val="18"/>
          <w:lang w:eastAsia="es-AR"/>
        </w:rPr>
        <w:t>Issue</w:t>
      </w:r>
      <w:proofErr w:type="spellEnd"/>
      <w:r w:rsidRPr="00AD0488">
        <w:rPr>
          <w:rFonts w:ascii="Arial" w:eastAsia="Times New Roman" w:hAnsi="Arial" w:cs="Arial"/>
          <w:color w:val="222222"/>
          <w:sz w:val="18"/>
          <w:szCs w:val="18"/>
          <w:lang w:eastAsia="es-AR"/>
        </w:rPr>
        <w:t xml:space="preserve"> 2. Art. No.: CD008191. DOI: 10.1002/14651858.CD008191. </w:t>
      </w:r>
      <w:hyperlink r:id="rId42" w:tgtFrame="_blank" w:history="1">
        <w:r w:rsidRPr="00AD0488">
          <w:rPr>
            <w:rFonts w:ascii="Arial" w:eastAsia="Times New Roman" w:hAnsi="Arial" w:cs="Arial"/>
            <w:color w:val="008888"/>
            <w:sz w:val="18"/>
            <w:szCs w:val="18"/>
            <w:u w:val="single"/>
            <w:lang w:eastAsia="es-AR"/>
          </w:rPr>
          <w:t>Texto completo</w:t>
        </w:r>
      </w:hyperlink>
    </w:p>
    <w:p w:rsidR="00AD0488" w:rsidRPr="00AD0488" w:rsidRDefault="00AD0488" w:rsidP="00AD0488">
      <w:pPr>
        <w:numPr>
          <w:ilvl w:val="0"/>
          <w:numId w:val="3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 xml:space="preserve">Warner J, Butler R, </w:t>
      </w:r>
      <w:proofErr w:type="spellStart"/>
      <w:r w:rsidRPr="00AD0488">
        <w:rPr>
          <w:rFonts w:ascii="Arial" w:eastAsia="Times New Roman" w:hAnsi="Arial" w:cs="Arial"/>
          <w:color w:val="222222"/>
          <w:sz w:val="18"/>
          <w:szCs w:val="18"/>
          <w:lang w:eastAsia="es-AR"/>
        </w:rPr>
        <w:t>Wuntakal</w:t>
      </w:r>
      <w:proofErr w:type="spellEnd"/>
      <w:r w:rsidRPr="00AD0488">
        <w:rPr>
          <w:rFonts w:ascii="Arial" w:eastAsia="Times New Roman" w:hAnsi="Arial" w:cs="Arial"/>
          <w:color w:val="222222"/>
          <w:sz w:val="18"/>
          <w:szCs w:val="18"/>
          <w:lang w:eastAsia="es-AR"/>
        </w:rPr>
        <w:t xml:space="preserve"> B. </w:t>
      </w:r>
      <w:proofErr w:type="spellStart"/>
      <w:r w:rsidRPr="00AD0488">
        <w:rPr>
          <w:rFonts w:ascii="Arial" w:eastAsia="Times New Roman" w:hAnsi="Arial" w:cs="Arial"/>
          <w:color w:val="222222"/>
          <w:sz w:val="18"/>
          <w:szCs w:val="18"/>
          <w:lang w:eastAsia="es-AR"/>
        </w:rPr>
        <w:t>Dementia</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Clin</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Evid</w:t>
      </w:r>
      <w:proofErr w:type="spellEnd"/>
      <w:r w:rsidRPr="00AD0488">
        <w:rPr>
          <w:rFonts w:ascii="Arial" w:eastAsia="Times New Roman" w:hAnsi="Arial" w:cs="Arial"/>
          <w:color w:val="222222"/>
          <w:sz w:val="18"/>
          <w:szCs w:val="18"/>
          <w:lang w:eastAsia="es-AR"/>
        </w:rPr>
        <w:t xml:space="preserve">. 2005;(14):1198-220. </w:t>
      </w:r>
      <w:proofErr w:type="spellStart"/>
      <w:r w:rsidRPr="00AD0488">
        <w:rPr>
          <w:rFonts w:ascii="Arial" w:eastAsia="Times New Roman" w:hAnsi="Arial" w:cs="Arial"/>
          <w:color w:val="222222"/>
          <w:sz w:val="18"/>
          <w:szCs w:val="18"/>
          <w:lang w:eastAsia="es-AR"/>
        </w:rPr>
        <w:t>PubMed</w:t>
      </w:r>
      <w:proofErr w:type="spellEnd"/>
      <w:r w:rsidRPr="00AD0488">
        <w:rPr>
          <w:rFonts w:ascii="Arial" w:eastAsia="Times New Roman" w:hAnsi="Arial" w:cs="Arial"/>
          <w:color w:val="222222"/>
          <w:sz w:val="18"/>
          <w:szCs w:val="18"/>
          <w:lang w:eastAsia="es-AR"/>
        </w:rPr>
        <w:t> </w:t>
      </w:r>
      <w:hyperlink r:id="rId43" w:tgtFrame="_blank" w:history="1">
        <w:r w:rsidRPr="00AD0488">
          <w:rPr>
            <w:rFonts w:ascii="Arial" w:eastAsia="Times New Roman" w:hAnsi="Arial" w:cs="Arial"/>
            <w:color w:val="008888"/>
            <w:sz w:val="18"/>
            <w:szCs w:val="18"/>
            <w:u w:val="single"/>
            <w:lang w:eastAsia="es-AR"/>
          </w:rPr>
          <w:t>PMID: 16620452</w:t>
        </w:r>
      </w:hyperlink>
    </w:p>
    <w:p w:rsidR="00AD0488" w:rsidRPr="00AD0488" w:rsidRDefault="00AD0488" w:rsidP="00AD0488">
      <w:pPr>
        <w:numPr>
          <w:ilvl w:val="0"/>
          <w:numId w:val="3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 xml:space="preserve">Williams JW, </w:t>
      </w:r>
      <w:proofErr w:type="spellStart"/>
      <w:r w:rsidRPr="00AD0488">
        <w:rPr>
          <w:rFonts w:ascii="Arial" w:eastAsia="Times New Roman" w:hAnsi="Arial" w:cs="Arial"/>
          <w:color w:val="222222"/>
          <w:sz w:val="18"/>
          <w:szCs w:val="18"/>
          <w:lang w:eastAsia="es-AR"/>
        </w:rPr>
        <w:t>Plassman</w:t>
      </w:r>
      <w:proofErr w:type="spellEnd"/>
      <w:r w:rsidRPr="00AD0488">
        <w:rPr>
          <w:rFonts w:ascii="Arial" w:eastAsia="Times New Roman" w:hAnsi="Arial" w:cs="Arial"/>
          <w:color w:val="222222"/>
          <w:sz w:val="18"/>
          <w:szCs w:val="18"/>
          <w:lang w:eastAsia="es-AR"/>
        </w:rPr>
        <w:t xml:space="preserve"> BL, </w:t>
      </w:r>
      <w:proofErr w:type="spellStart"/>
      <w:r w:rsidRPr="00AD0488">
        <w:rPr>
          <w:rFonts w:ascii="Arial" w:eastAsia="Times New Roman" w:hAnsi="Arial" w:cs="Arial"/>
          <w:color w:val="222222"/>
          <w:sz w:val="18"/>
          <w:szCs w:val="18"/>
          <w:lang w:eastAsia="es-AR"/>
        </w:rPr>
        <w:t>Burke</w:t>
      </w:r>
      <w:proofErr w:type="spellEnd"/>
      <w:r w:rsidRPr="00AD0488">
        <w:rPr>
          <w:rFonts w:ascii="Arial" w:eastAsia="Times New Roman" w:hAnsi="Arial" w:cs="Arial"/>
          <w:color w:val="222222"/>
          <w:sz w:val="18"/>
          <w:szCs w:val="18"/>
          <w:lang w:eastAsia="es-AR"/>
        </w:rPr>
        <w:t xml:space="preserve"> J, </w:t>
      </w:r>
      <w:proofErr w:type="spellStart"/>
      <w:r w:rsidRPr="00AD0488">
        <w:rPr>
          <w:rFonts w:ascii="Arial" w:eastAsia="Times New Roman" w:hAnsi="Arial" w:cs="Arial"/>
          <w:color w:val="222222"/>
          <w:sz w:val="18"/>
          <w:szCs w:val="18"/>
          <w:lang w:eastAsia="es-AR"/>
        </w:rPr>
        <w:t>Holsinger</w:t>
      </w:r>
      <w:proofErr w:type="spellEnd"/>
      <w:r w:rsidRPr="00AD0488">
        <w:rPr>
          <w:rFonts w:ascii="Arial" w:eastAsia="Times New Roman" w:hAnsi="Arial" w:cs="Arial"/>
          <w:color w:val="222222"/>
          <w:sz w:val="18"/>
          <w:szCs w:val="18"/>
          <w:lang w:eastAsia="es-AR"/>
        </w:rPr>
        <w:t xml:space="preserve"> T, </w:t>
      </w:r>
      <w:proofErr w:type="spellStart"/>
      <w:r w:rsidRPr="00AD0488">
        <w:rPr>
          <w:rFonts w:ascii="Arial" w:eastAsia="Times New Roman" w:hAnsi="Arial" w:cs="Arial"/>
          <w:color w:val="222222"/>
          <w:sz w:val="18"/>
          <w:szCs w:val="18"/>
          <w:lang w:eastAsia="es-AR"/>
        </w:rPr>
        <w:t>Benjamin</w:t>
      </w:r>
      <w:proofErr w:type="spellEnd"/>
      <w:r w:rsidRPr="00AD0488">
        <w:rPr>
          <w:rFonts w:ascii="Arial" w:eastAsia="Times New Roman" w:hAnsi="Arial" w:cs="Arial"/>
          <w:color w:val="222222"/>
          <w:sz w:val="18"/>
          <w:szCs w:val="18"/>
          <w:lang w:eastAsia="es-AR"/>
        </w:rPr>
        <w:t xml:space="preserve"> S. </w:t>
      </w:r>
      <w:proofErr w:type="spellStart"/>
      <w:r w:rsidRPr="00AD0488">
        <w:rPr>
          <w:rFonts w:ascii="Arial" w:eastAsia="Times New Roman" w:hAnsi="Arial" w:cs="Arial"/>
          <w:color w:val="222222"/>
          <w:sz w:val="18"/>
          <w:szCs w:val="18"/>
          <w:lang w:eastAsia="es-AR"/>
        </w:rPr>
        <w:t>Preventing</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Alzheimer’s</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Disease</w:t>
      </w:r>
      <w:proofErr w:type="spellEnd"/>
      <w:r w:rsidRPr="00AD0488">
        <w:rPr>
          <w:rFonts w:ascii="Arial" w:eastAsia="Times New Roman" w:hAnsi="Arial" w:cs="Arial"/>
          <w:color w:val="222222"/>
          <w:sz w:val="18"/>
          <w:szCs w:val="18"/>
          <w:lang w:eastAsia="es-AR"/>
        </w:rPr>
        <w:t xml:space="preserve"> and </w:t>
      </w:r>
      <w:proofErr w:type="spellStart"/>
      <w:r w:rsidRPr="00AD0488">
        <w:rPr>
          <w:rFonts w:ascii="Arial" w:eastAsia="Times New Roman" w:hAnsi="Arial" w:cs="Arial"/>
          <w:color w:val="222222"/>
          <w:sz w:val="18"/>
          <w:szCs w:val="18"/>
          <w:lang w:eastAsia="es-AR"/>
        </w:rPr>
        <w:t>Cognitive</w:t>
      </w:r>
      <w:proofErr w:type="spellEnd"/>
      <w:r w:rsidRPr="00AD0488">
        <w:rPr>
          <w:rFonts w:ascii="Arial" w:eastAsia="Times New Roman" w:hAnsi="Arial" w:cs="Arial"/>
          <w:color w:val="222222"/>
          <w:sz w:val="18"/>
          <w:szCs w:val="18"/>
          <w:lang w:eastAsia="es-AR"/>
        </w:rPr>
        <w:t xml:space="preserve"> Decline. </w:t>
      </w:r>
      <w:proofErr w:type="spellStart"/>
      <w:r w:rsidRPr="00AD0488">
        <w:rPr>
          <w:rFonts w:ascii="Arial" w:eastAsia="Times New Roman" w:hAnsi="Arial" w:cs="Arial"/>
          <w:color w:val="222222"/>
          <w:sz w:val="18"/>
          <w:szCs w:val="18"/>
          <w:lang w:eastAsia="es-AR"/>
        </w:rPr>
        <w:t>Evidence</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Report</w:t>
      </w:r>
      <w:proofErr w:type="spellEnd"/>
      <w:r w:rsidRPr="00AD0488">
        <w:rPr>
          <w:rFonts w:ascii="Arial" w:eastAsia="Times New Roman" w:hAnsi="Arial" w:cs="Arial"/>
          <w:color w:val="222222"/>
          <w:sz w:val="18"/>
          <w:szCs w:val="18"/>
          <w:lang w:eastAsia="es-AR"/>
        </w:rPr>
        <w:t>/</w:t>
      </w:r>
      <w:proofErr w:type="spellStart"/>
      <w:r w:rsidRPr="00AD0488">
        <w:rPr>
          <w:rFonts w:ascii="Arial" w:eastAsia="Times New Roman" w:hAnsi="Arial" w:cs="Arial"/>
          <w:color w:val="222222"/>
          <w:sz w:val="18"/>
          <w:szCs w:val="18"/>
          <w:lang w:eastAsia="es-AR"/>
        </w:rPr>
        <w:t>Technology</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Assessment</w:t>
      </w:r>
      <w:proofErr w:type="spellEnd"/>
      <w:r w:rsidRPr="00AD0488">
        <w:rPr>
          <w:rFonts w:ascii="Arial" w:eastAsia="Times New Roman" w:hAnsi="Arial" w:cs="Arial"/>
          <w:color w:val="222222"/>
          <w:sz w:val="18"/>
          <w:szCs w:val="18"/>
          <w:lang w:eastAsia="es-AR"/>
        </w:rPr>
        <w:t xml:space="preserve"> No. 193. (</w:t>
      </w:r>
      <w:proofErr w:type="spellStart"/>
      <w:r w:rsidRPr="00AD0488">
        <w:rPr>
          <w:rFonts w:ascii="Arial" w:eastAsia="Times New Roman" w:hAnsi="Arial" w:cs="Arial"/>
          <w:color w:val="222222"/>
          <w:sz w:val="18"/>
          <w:szCs w:val="18"/>
          <w:lang w:eastAsia="es-AR"/>
        </w:rPr>
        <w:t>Prepared</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by</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the</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Duke</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Evidence-based</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Practice</w:t>
      </w:r>
      <w:proofErr w:type="spellEnd"/>
      <w:r w:rsidRPr="00AD0488">
        <w:rPr>
          <w:rFonts w:ascii="Arial" w:eastAsia="Times New Roman" w:hAnsi="Arial" w:cs="Arial"/>
          <w:color w:val="222222"/>
          <w:sz w:val="18"/>
          <w:szCs w:val="18"/>
          <w:lang w:eastAsia="es-AR"/>
        </w:rPr>
        <w:t xml:space="preserve"> Center </w:t>
      </w:r>
      <w:proofErr w:type="spellStart"/>
      <w:r w:rsidRPr="00AD0488">
        <w:rPr>
          <w:rFonts w:ascii="Arial" w:eastAsia="Times New Roman" w:hAnsi="Arial" w:cs="Arial"/>
          <w:color w:val="222222"/>
          <w:sz w:val="18"/>
          <w:szCs w:val="18"/>
          <w:lang w:eastAsia="es-AR"/>
        </w:rPr>
        <w:t>under</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Contract</w:t>
      </w:r>
      <w:proofErr w:type="spellEnd"/>
      <w:r w:rsidRPr="00AD0488">
        <w:rPr>
          <w:rFonts w:ascii="Arial" w:eastAsia="Times New Roman" w:hAnsi="Arial" w:cs="Arial"/>
          <w:color w:val="222222"/>
          <w:sz w:val="18"/>
          <w:szCs w:val="18"/>
          <w:lang w:eastAsia="es-AR"/>
        </w:rPr>
        <w:t xml:space="preserve"> No. HHSA 290-2007-10066-I.) AHRQ </w:t>
      </w:r>
      <w:proofErr w:type="spellStart"/>
      <w:r w:rsidRPr="00AD0488">
        <w:rPr>
          <w:rFonts w:ascii="Arial" w:eastAsia="Times New Roman" w:hAnsi="Arial" w:cs="Arial"/>
          <w:color w:val="222222"/>
          <w:sz w:val="18"/>
          <w:szCs w:val="18"/>
          <w:lang w:eastAsia="es-AR"/>
        </w:rPr>
        <w:t>Publication</w:t>
      </w:r>
      <w:proofErr w:type="spellEnd"/>
      <w:r w:rsidRPr="00AD0488">
        <w:rPr>
          <w:rFonts w:ascii="Arial" w:eastAsia="Times New Roman" w:hAnsi="Arial" w:cs="Arial"/>
          <w:color w:val="222222"/>
          <w:sz w:val="18"/>
          <w:szCs w:val="18"/>
          <w:lang w:eastAsia="es-AR"/>
        </w:rPr>
        <w:t xml:space="preserve"> No. 10-E005. Rockville, MD: Agency </w:t>
      </w:r>
      <w:proofErr w:type="spellStart"/>
      <w:r w:rsidRPr="00AD0488">
        <w:rPr>
          <w:rFonts w:ascii="Arial" w:eastAsia="Times New Roman" w:hAnsi="Arial" w:cs="Arial"/>
          <w:color w:val="222222"/>
          <w:sz w:val="18"/>
          <w:szCs w:val="18"/>
          <w:lang w:eastAsia="es-AR"/>
        </w:rPr>
        <w:t>for</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Healthcare</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Research</w:t>
      </w:r>
      <w:proofErr w:type="spellEnd"/>
      <w:r w:rsidRPr="00AD0488">
        <w:rPr>
          <w:rFonts w:ascii="Arial" w:eastAsia="Times New Roman" w:hAnsi="Arial" w:cs="Arial"/>
          <w:color w:val="222222"/>
          <w:sz w:val="18"/>
          <w:szCs w:val="18"/>
          <w:lang w:eastAsia="es-AR"/>
        </w:rPr>
        <w:t xml:space="preserve"> and </w:t>
      </w:r>
      <w:proofErr w:type="spellStart"/>
      <w:r w:rsidRPr="00AD0488">
        <w:rPr>
          <w:rFonts w:ascii="Arial" w:eastAsia="Times New Roman" w:hAnsi="Arial" w:cs="Arial"/>
          <w:color w:val="222222"/>
          <w:sz w:val="18"/>
          <w:szCs w:val="18"/>
          <w:lang w:eastAsia="es-AR"/>
        </w:rPr>
        <w:t>Quality</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April</w:t>
      </w:r>
      <w:proofErr w:type="spellEnd"/>
      <w:r w:rsidRPr="00AD0488">
        <w:rPr>
          <w:rFonts w:ascii="Arial" w:eastAsia="Times New Roman" w:hAnsi="Arial" w:cs="Arial"/>
          <w:color w:val="222222"/>
          <w:sz w:val="18"/>
          <w:szCs w:val="18"/>
          <w:lang w:eastAsia="es-AR"/>
        </w:rPr>
        <w:t xml:space="preserve"> 2010. </w:t>
      </w:r>
      <w:hyperlink r:id="rId44" w:tgtFrame="_blank" w:history="1">
        <w:r w:rsidRPr="00AD0488">
          <w:rPr>
            <w:rFonts w:ascii="Arial" w:eastAsia="Times New Roman" w:hAnsi="Arial" w:cs="Arial"/>
            <w:color w:val="008888"/>
            <w:sz w:val="18"/>
            <w:szCs w:val="18"/>
            <w:u w:val="single"/>
            <w:lang w:eastAsia="es-AR"/>
          </w:rPr>
          <w:t>Texto completo</w:t>
        </w:r>
      </w:hyperlink>
    </w:p>
    <w:p w:rsidR="00AD0488" w:rsidRPr="00AD0488" w:rsidRDefault="00AD0488" w:rsidP="00AD0488">
      <w:pPr>
        <w:numPr>
          <w:ilvl w:val="0"/>
          <w:numId w:val="3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FB5C3E">
        <w:rPr>
          <w:rFonts w:ascii="Arial" w:eastAsia="Times New Roman" w:hAnsi="Arial" w:cs="Arial"/>
          <w:color w:val="222222"/>
          <w:sz w:val="18"/>
          <w:szCs w:val="18"/>
          <w:lang w:val="en-US" w:eastAsia="es-AR"/>
        </w:rPr>
        <w:t xml:space="preserve">Woods B, Aguirre E, Spector AE, Orrell M. Cognitive stimulation to improve cognitive functioning in people with dementia. </w:t>
      </w:r>
      <w:r w:rsidRPr="00AD0488">
        <w:rPr>
          <w:rFonts w:ascii="Arial" w:eastAsia="Times New Roman" w:hAnsi="Arial" w:cs="Arial"/>
          <w:color w:val="222222"/>
          <w:sz w:val="18"/>
          <w:szCs w:val="18"/>
          <w:lang w:eastAsia="es-AR"/>
        </w:rPr>
        <w:t xml:space="preserve">Cochrane </w:t>
      </w:r>
      <w:proofErr w:type="spellStart"/>
      <w:r w:rsidRPr="00AD0488">
        <w:rPr>
          <w:rFonts w:ascii="Arial" w:eastAsia="Times New Roman" w:hAnsi="Arial" w:cs="Arial"/>
          <w:color w:val="222222"/>
          <w:sz w:val="18"/>
          <w:szCs w:val="18"/>
          <w:lang w:eastAsia="es-AR"/>
        </w:rPr>
        <w:t>Database</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Syst</w:t>
      </w:r>
      <w:proofErr w:type="spellEnd"/>
      <w:r w:rsidRPr="00AD0488">
        <w:rPr>
          <w:rFonts w:ascii="Arial" w:eastAsia="Times New Roman" w:hAnsi="Arial" w:cs="Arial"/>
          <w:color w:val="222222"/>
          <w:sz w:val="18"/>
          <w:szCs w:val="18"/>
          <w:lang w:eastAsia="es-AR"/>
        </w:rPr>
        <w:t xml:space="preserve"> Rev. 2012;2:CD005562. </w:t>
      </w:r>
      <w:proofErr w:type="spellStart"/>
      <w:r w:rsidRPr="00AD0488">
        <w:rPr>
          <w:rFonts w:ascii="Arial" w:eastAsia="Times New Roman" w:hAnsi="Arial" w:cs="Arial"/>
          <w:color w:val="222222"/>
          <w:sz w:val="18"/>
          <w:szCs w:val="18"/>
          <w:lang w:eastAsia="es-AR"/>
        </w:rPr>
        <w:t>doi</w:t>
      </w:r>
      <w:proofErr w:type="spellEnd"/>
      <w:r w:rsidRPr="00AD0488">
        <w:rPr>
          <w:rFonts w:ascii="Arial" w:eastAsia="Times New Roman" w:hAnsi="Arial" w:cs="Arial"/>
          <w:color w:val="222222"/>
          <w:sz w:val="18"/>
          <w:szCs w:val="18"/>
          <w:lang w:eastAsia="es-AR"/>
        </w:rPr>
        <w:t xml:space="preserve">: 10.1002/14651858.CD005562.pub2. </w:t>
      </w:r>
      <w:proofErr w:type="spellStart"/>
      <w:r w:rsidRPr="00AD0488">
        <w:rPr>
          <w:rFonts w:ascii="Arial" w:eastAsia="Times New Roman" w:hAnsi="Arial" w:cs="Arial"/>
          <w:color w:val="222222"/>
          <w:sz w:val="18"/>
          <w:szCs w:val="18"/>
          <w:lang w:eastAsia="es-AR"/>
        </w:rPr>
        <w:t>PubMed</w:t>
      </w:r>
      <w:proofErr w:type="spellEnd"/>
      <w:r w:rsidRPr="00AD0488">
        <w:rPr>
          <w:rFonts w:ascii="Arial" w:eastAsia="Times New Roman" w:hAnsi="Arial" w:cs="Arial"/>
          <w:color w:val="222222"/>
          <w:sz w:val="18"/>
          <w:szCs w:val="18"/>
          <w:lang w:eastAsia="es-AR"/>
        </w:rPr>
        <w:t> </w:t>
      </w:r>
      <w:hyperlink r:id="rId45" w:tgtFrame="_blank" w:history="1">
        <w:r w:rsidRPr="00AD0488">
          <w:rPr>
            <w:rFonts w:ascii="Arial" w:eastAsia="Times New Roman" w:hAnsi="Arial" w:cs="Arial"/>
            <w:color w:val="008888"/>
            <w:sz w:val="18"/>
            <w:szCs w:val="18"/>
            <w:u w:val="single"/>
            <w:lang w:eastAsia="es-AR"/>
          </w:rPr>
          <w:t>PMID: 22336813</w:t>
        </w:r>
      </w:hyperlink>
    </w:p>
    <w:p w:rsidR="00AD0488" w:rsidRPr="00AD0488" w:rsidRDefault="00FB5C3E" w:rsidP="00AD0488">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46" w:anchor="top" w:tgtFrame="_blank" w:history="1">
        <w:r w:rsidR="00AD0488" w:rsidRPr="00AD0488">
          <w:rPr>
            <w:rFonts w:ascii="Arial" w:eastAsia="Times New Roman" w:hAnsi="Arial" w:cs="Arial"/>
            <w:b/>
            <w:bCs/>
            <w:color w:val="008888"/>
            <w:sz w:val="18"/>
            <w:szCs w:val="18"/>
            <w:u w:val="single"/>
            <w:bdr w:val="none" w:sz="0" w:space="0" w:color="auto" w:frame="1"/>
            <w:lang w:eastAsia="es-AR"/>
          </w:rPr>
          <w:t>subir</w:t>
        </w:r>
      </w:hyperlink>
    </w:p>
    <w:p w:rsidR="00AD0488" w:rsidRPr="00AD0488" w:rsidRDefault="00AD0488" w:rsidP="00AD0488">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8" w:name="x_756"/>
      <w:bookmarkEnd w:id="8"/>
      <w:r w:rsidRPr="00AD0488">
        <w:rPr>
          <w:rFonts w:ascii="Arial" w:eastAsia="Times New Roman" w:hAnsi="Arial" w:cs="Arial"/>
          <w:b/>
          <w:bCs/>
          <w:color w:val="008888"/>
          <w:sz w:val="21"/>
          <w:szCs w:val="21"/>
          <w:lang w:eastAsia="es-AR"/>
        </w:rPr>
        <w:t>Más en la red</w:t>
      </w:r>
    </w:p>
    <w:p w:rsidR="00AD0488" w:rsidRPr="00AD0488" w:rsidRDefault="00AD0488" w:rsidP="00AD0488">
      <w:pPr>
        <w:numPr>
          <w:ilvl w:val="0"/>
          <w:numId w:val="35"/>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FB5C3E">
        <w:rPr>
          <w:rFonts w:ascii="Arial" w:eastAsia="Times New Roman" w:hAnsi="Arial" w:cs="Arial"/>
          <w:color w:val="222222"/>
          <w:sz w:val="18"/>
          <w:szCs w:val="18"/>
          <w:lang w:val="en-US" w:eastAsia="es-AR"/>
        </w:rPr>
        <w:t xml:space="preserve">Daviglus ML, Bell CC, Berrettini W, Bowen PE, Connolly ES, Cox NJ, Dunbar-Jacob JM et al. </w:t>
      </w:r>
      <w:r w:rsidRPr="00AD0488">
        <w:rPr>
          <w:rFonts w:ascii="Arial" w:eastAsia="Times New Roman" w:hAnsi="Arial" w:cs="Arial"/>
          <w:color w:val="222222"/>
          <w:sz w:val="18"/>
          <w:szCs w:val="18"/>
          <w:lang w:eastAsia="es-AR"/>
        </w:rPr>
        <w:t xml:space="preserve">NIH </w:t>
      </w:r>
      <w:proofErr w:type="spellStart"/>
      <w:r w:rsidRPr="00AD0488">
        <w:rPr>
          <w:rFonts w:ascii="Arial" w:eastAsia="Times New Roman" w:hAnsi="Arial" w:cs="Arial"/>
          <w:color w:val="222222"/>
          <w:sz w:val="18"/>
          <w:szCs w:val="18"/>
          <w:lang w:eastAsia="es-AR"/>
        </w:rPr>
        <w:t>State</w:t>
      </w:r>
      <w:proofErr w:type="spellEnd"/>
      <w:r w:rsidRPr="00AD0488">
        <w:rPr>
          <w:rFonts w:ascii="Arial" w:eastAsia="Times New Roman" w:hAnsi="Arial" w:cs="Arial"/>
          <w:color w:val="222222"/>
          <w:sz w:val="18"/>
          <w:szCs w:val="18"/>
          <w:lang w:eastAsia="es-AR"/>
        </w:rPr>
        <w:t>-of-</w:t>
      </w:r>
      <w:proofErr w:type="spellStart"/>
      <w:r w:rsidRPr="00AD0488">
        <w:rPr>
          <w:rFonts w:ascii="Arial" w:eastAsia="Times New Roman" w:hAnsi="Arial" w:cs="Arial"/>
          <w:color w:val="222222"/>
          <w:sz w:val="18"/>
          <w:szCs w:val="18"/>
          <w:lang w:eastAsia="es-AR"/>
        </w:rPr>
        <w:t>the</w:t>
      </w:r>
      <w:proofErr w:type="spellEnd"/>
      <w:r w:rsidRPr="00AD0488">
        <w:rPr>
          <w:rFonts w:ascii="Arial" w:eastAsia="Times New Roman" w:hAnsi="Arial" w:cs="Arial"/>
          <w:color w:val="222222"/>
          <w:sz w:val="18"/>
          <w:szCs w:val="18"/>
          <w:lang w:eastAsia="es-AR"/>
        </w:rPr>
        <w:t>-</w:t>
      </w:r>
      <w:proofErr w:type="spellStart"/>
      <w:r w:rsidRPr="00AD0488">
        <w:rPr>
          <w:rFonts w:ascii="Arial" w:eastAsia="Times New Roman" w:hAnsi="Arial" w:cs="Arial"/>
          <w:color w:val="222222"/>
          <w:sz w:val="18"/>
          <w:szCs w:val="18"/>
          <w:lang w:eastAsia="es-AR"/>
        </w:rPr>
        <w:t>Science</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Conference</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Statement</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Preventing</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Alzheimer's</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Disease</w:t>
      </w:r>
      <w:proofErr w:type="spellEnd"/>
      <w:r w:rsidRPr="00AD0488">
        <w:rPr>
          <w:rFonts w:ascii="Arial" w:eastAsia="Times New Roman" w:hAnsi="Arial" w:cs="Arial"/>
          <w:color w:val="222222"/>
          <w:sz w:val="18"/>
          <w:szCs w:val="18"/>
          <w:lang w:eastAsia="es-AR"/>
        </w:rPr>
        <w:t xml:space="preserve"> and </w:t>
      </w:r>
      <w:proofErr w:type="spellStart"/>
      <w:r w:rsidRPr="00AD0488">
        <w:rPr>
          <w:rFonts w:ascii="Arial" w:eastAsia="Times New Roman" w:hAnsi="Arial" w:cs="Arial"/>
          <w:color w:val="222222"/>
          <w:sz w:val="18"/>
          <w:szCs w:val="18"/>
          <w:lang w:eastAsia="es-AR"/>
        </w:rPr>
        <w:t>Cognitive</w:t>
      </w:r>
      <w:proofErr w:type="spellEnd"/>
      <w:r w:rsidRPr="00AD0488">
        <w:rPr>
          <w:rFonts w:ascii="Arial" w:eastAsia="Times New Roman" w:hAnsi="Arial" w:cs="Arial"/>
          <w:color w:val="222222"/>
          <w:sz w:val="18"/>
          <w:szCs w:val="18"/>
          <w:lang w:eastAsia="es-AR"/>
        </w:rPr>
        <w:t xml:space="preserve"> Decline. NIH </w:t>
      </w:r>
      <w:proofErr w:type="spellStart"/>
      <w:r w:rsidRPr="00AD0488">
        <w:rPr>
          <w:rFonts w:ascii="Arial" w:eastAsia="Times New Roman" w:hAnsi="Arial" w:cs="Arial"/>
          <w:color w:val="222222"/>
          <w:sz w:val="18"/>
          <w:szCs w:val="18"/>
          <w:lang w:eastAsia="es-AR"/>
        </w:rPr>
        <w:t>Consens</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State</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Sci</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Statements</w:t>
      </w:r>
      <w:proofErr w:type="spellEnd"/>
      <w:r w:rsidRPr="00AD0488">
        <w:rPr>
          <w:rFonts w:ascii="Arial" w:eastAsia="Times New Roman" w:hAnsi="Arial" w:cs="Arial"/>
          <w:color w:val="222222"/>
          <w:sz w:val="18"/>
          <w:szCs w:val="18"/>
          <w:lang w:eastAsia="es-AR"/>
        </w:rPr>
        <w:t xml:space="preserve">. 2010 </w:t>
      </w:r>
      <w:proofErr w:type="spellStart"/>
      <w:r w:rsidRPr="00AD0488">
        <w:rPr>
          <w:rFonts w:ascii="Arial" w:eastAsia="Times New Roman" w:hAnsi="Arial" w:cs="Arial"/>
          <w:color w:val="222222"/>
          <w:sz w:val="18"/>
          <w:szCs w:val="18"/>
          <w:lang w:eastAsia="es-AR"/>
        </w:rPr>
        <w:t>Apr</w:t>
      </w:r>
      <w:proofErr w:type="spellEnd"/>
      <w:r w:rsidRPr="00AD0488">
        <w:rPr>
          <w:rFonts w:ascii="Arial" w:eastAsia="Times New Roman" w:hAnsi="Arial" w:cs="Arial"/>
          <w:color w:val="222222"/>
          <w:sz w:val="18"/>
          <w:szCs w:val="18"/>
          <w:lang w:eastAsia="es-AR"/>
        </w:rPr>
        <w:t xml:space="preserve"> 28;27(4). </w:t>
      </w:r>
      <w:proofErr w:type="spellStart"/>
      <w:r w:rsidRPr="00AD0488">
        <w:rPr>
          <w:rFonts w:ascii="Arial" w:eastAsia="Times New Roman" w:hAnsi="Arial" w:cs="Arial"/>
          <w:color w:val="222222"/>
          <w:sz w:val="18"/>
          <w:szCs w:val="18"/>
          <w:lang w:eastAsia="es-AR"/>
        </w:rPr>
        <w:t>PubMed</w:t>
      </w:r>
      <w:proofErr w:type="spellEnd"/>
      <w:r w:rsidRPr="00AD0488">
        <w:rPr>
          <w:rFonts w:ascii="Arial" w:eastAsia="Times New Roman" w:hAnsi="Arial" w:cs="Arial"/>
          <w:color w:val="222222"/>
          <w:sz w:val="18"/>
          <w:szCs w:val="18"/>
          <w:lang w:eastAsia="es-AR"/>
        </w:rPr>
        <w:t> </w:t>
      </w:r>
      <w:hyperlink r:id="rId47" w:tgtFrame="_blank" w:history="1">
        <w:r w:rsidRPr="00AD0488">
          <w:rPr>
            <w:rFonts w:ascii="Arial" w:eastAsia="Times New Roman" w:hAnsi="Arial" w:cs="Arial"/>
            <w:color w:val="008888"/>
            <w:sz w:val="18"/>
            <w:szCs w:val="18"/>
            <w:u w:val="single"/>
            <w:lang w:eastAsia="es-AR"/>
          </w:rPr>
          <w:t>PMID: 20445638</w:t>
        </w:r>
      </w:hyperlink>
    </w:p>
    <w:p w:rsidR="00AD0488" w:rsidRPr="00AD0488" w:rsidRDefault="00AD0488" w:rsidP="00AD0488">
      <w:pPr>
        <w:numPr>
          <w:ilvl w:val="0"/>
          <w:numId w:val="35"/>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bdr w:val="none" w:sz="0" w:space="0" w:color="auto" w:frame="1"/>
          <w:lang w:eastAsia="es-AR"/>
        </w:rPr>
        <w:t xml:space="preserve">Grupo de trabajo de la Guía de Práctica Clínica sobre la atención integral a las personas con enfermedad de Alzheimer y otras demencias. Guía de Práctica Clínica sobre la atención integral a las personas con enfermedad de Alzheimer y otras demencias. Plan de Calidad para el Sistema Nacional de Salud del Ministerio de Sanidad, Política Social e Igualdad. </w:t>
      </w:r>
      <w:proofErr w:type="spellStart"/>
      <w:r w:rsidRPr="00AD0488">
        <w:rPr>
          <w:rFonts w:ascii="Arial" w:eastAsia="Times New Roman" w:hAnsi="Arial" w:cs="Arial"/>
          <w:color w:val="222222"/>
          <w:sz w:val="18"/>
          <w:szCs w:val="18"/>
          <w:bdr w:val="none" w:sz="0" w:space="0" w:color="auto" w:frame="1"/>
          <w:lang w:eastAsia="es-AR"/>
        </w:rPr>
        <w:t>Agència</w:t>
      </w:r>
      <w:proofErr w:type="spellEnd"/>
      <w:r w:rsidRPr="00AD0488">
        <w:rPr>
          <w:rFonts w:ascii="Arial" w:eastAsia="Times New Roman" w:hAnsi="Arial" w:cs="Arial"/>
          <w:color w:val="222222"/>
          <w:sz w:val="18"/>
          <w:szCs w:val="18"/>
          <w:bdr w:val="none" w:sz="0" w:space="0" w:color="auto" w:frame="1"/>
          <w:lang w:eastAsia="es-AR"/>
        </w:rPr>
        <w:t xml:space="preserve"> </w:t>
      </w:r>
      <w:proofErr w:type="spellStart"/>
      <w:r w:rsidRPr="00AD0488">
        <w:rPr>
          <w:rFonts w:ascii="Arial" w:eastAsia="Times New Roman" w:hAnsi="Arial" w:cs="Arial"/>
          <w:color w:val="222222"/>
          <w:sz w:val="18"/>
          <w:szCs w:val="18"/>
          <w:bdr w:val="none" w:sz="0" w:space="0" w:color="auto" w:frame="1"/>
          <w:lang w:eastAsia="es-AR"/>
        </w:rPr>
        <w:t>d´Informació</w:t>
      </w:r>
      <w:proofErr w:type="spellEnd"/>
      <w:r w:rsidRPr="00AD0488">
        <w:rPr>
          <w:rFonts w:ascii="Arial" w:eastAsia="Times New Roman" w:hAnsi="Arial" w:cs="Arial"/>
          <w:color w:val="222222"/>
          <w:sz w:val="18"/>
          <w:szCs w:val="18"/>
          <w:bdr w:val="none" w:sz="0" w:space="0" w:color="auto" w:frame="1"/>
          <w:lang w:eastAsia="es-AR"/>
        </w:rPr>
        <w:t xml:space="preserve">, </w:t>
      </w:r>
      <w:proofErr w:type="spellStart"/>
      <w:r w:rsidRPr="00AD0488">
        <w:rPr>
          <w:rFonts w:ascii="Arial" w:eastAsia="Times New Roman" w:hAnsi="Arial" w:cs="Arial"/>
          <w:color w:val="222222"/>
          <w:sz w:val="18"/>
          <w:szCs w:val="18"/>
          <w:bdr w:val="none" w:sz="0" w:space="0" w:color="auto" w:frame="1"/>
          <w:lang w:eastAsia="es-AR"/>
        </w:rPr>
        <w:t>Avaluació</w:t>
      </w:r>
      <w:proofErr w:type="spellEnd"/>
      <w:r w:rsidRPr="00AD0488">
        <w:rPr>
          <w:rFonts w:ascii="Arial" w:eastAsia="Times New Roman" w:hAnsi="Arial" w:cs="Arial"/>
          <w:color w:val="222222"/>
          <w:sz w:val="18"/>
          <w:szCs w:val="18"/>
          <w:bdr w:val="none" w:sz="0" w:space="0" w:color="auto" w:frame="1"/>
          <w:lang w:eastAsia="es-AR"/>
        </w:rPr>
        <w:t xml:space="preserve"> i </w:t>
      </w:r>
      <w:proofErr w:type="spellStart"/>
      <w:r w:rsidRPr="00AD0488">
        <w:rPr>
          <w:rFonts w:ascii="Arial" w:eastAsia="Times New Roman" w:hAnsi="Arial" w:cs="Arial"/>
          <w:color w:val="222222"/>
          <w:sz w:val="18"/>
          <w:szCs w:val="18"/>
          <w:bdr w:val="none" w:sz="0" w:space="0" w:color="auto" w:frame="1"/>
          <w:lang w:eastAsia="es-AR"/>
        </w:rPr>
        <w:t>Qualitat</w:t>
      </w:r>
      <w:proofErr w:type="spellEnd"/>
      <w:r w:rsidRPr="00AD0488">
        <w:rPr>
          <w:rFonts w:ascii="Arial" w:eastAsia="Times New Roman" w:hAnsi="Arial" w:cs="Arial"/>
          <w:color w:val="222222"/>
          <w:sz w:val="18"/>
          <w:szCs w:val="18"/>
          <w:bdr w:val="none" w:sz="0" w:space="0" w:color="auto" w:frame="1"/>
          <w:lang w:eastAsia="es-AR"/>
        </w:rPr>
        <w:t xml:space="preserve"> en </w:t>
      </w:r>
      <w:proofErr w:type="spellStart"/>
      <w:r w:rsidRPr="00AD0488">
        <w:rPr>
          <w:rFonts w:ascii="Arial" w:eastAsia="Times New Roman" w:hAnsi="Arial" w:cs="Arial"/>
          <w:color w:val="222222"/>
          <w:sz w:val="18"/>
          <w:szCs w:val="18"/>
          <w:bdr w:val="none" w:sz="0" w:space="0" w:color="auto" w:frame="1"/>
          <w:lang w:eastAsia="es-AR"/>
        </w:rPr>
        <w:t>Salut</w:t>
      </w:r>
      <w:proofErr w:type="spellEnd"/>
      <w:r w:rsidRPr="00AD0488">
        <w:rPr>
          <w:rFonts w:ascii="Arial" w:eastAsia="Times New Roman" w:hAnsi="Arial" w:cs="Arial"/>
          <w:color w:val="222222"/>
          <w:sz w:val="18"/>
          <w:szCs w:val="18"/>
          <w:bdr w:val="none" w:sz="0" w:space="0" w:color="auto" w:frame="1"/>
          <w:lang w:eastAsia="es-AR"/>
        </w:rPr>
        <w:t xml:space="preserve"> de Cataluña; 2010. Guías de Práctica Clínica en el SNS: AIAQS Núm. 2009/07. </w:t>
      </w:r>
      <w:hyperlink r:id="rId48" w:tgtFrame="_blank" w:history="1">
        <w:r w:rsidRPr="00AD0488">
          <w:rPr>
            <w:rFonts w:ascii="Arial" w:eastAsia="Times New Roman" w:hAnsi="Arial" w:cs="Arial"/>
            <w:color w:val="008888"/>
            <w:sz w:val="18"/>
            <w:szCs w:val="18"/>
            <w:u w:val="single"/>
            <w:lang w:eastAsia="es-AR"/>
          </w:rPr>
          <w:t>Texto completo</w:t>
        </w:r>
      </w:hyperlink>
    </w:p>
    <w:p w:rsidR="00AD0488" w:rsidRPr="00AD0488" w:rsidRDefault="00AD0488" w:rsidP="00AD0488">
      <w:pPr>
        <w:numPr>
          <w:ilvl w:val="0"/>
          <w:numId w:val="35"/>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lang w:eastAsia="es-AR"/>
        </w:rPr>
        <w:t>Grupo de Trabajo Fármacos e Iatrogenia y del Grupo de Demencias de la Sociedad Española de Geriatría y Gerontología. Recomendaciones en la prevención de reacciones adversas a medicamentos en personas mayores con demencia. </w:t>
      </w:r>
      <w:proofErr w:type="spellStart"/>
      <w:r w:rsidRPr="00AD0488">
        <w:rPr>
          <w:rFonts w:ascii="Arial" w:eastAsia="Times New Roman" w:hAnsi="Arial" w:cs="Arial"/>
          <w:color w:val="222222"/>
          <w:sz w:val="18"/>
          <w:szCs w:val="18"/>
          <w:lang w:eastAsia="es-AR"/>
        </w:rPr>
        <w:t>Rev</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Esp</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Geriatr</w:t>
      </w:r>
      <w:proofErr w:type="spellEnd"/>
      <w:r w:rsidRPr="00AD0488">
        <w:rPr>
          <w:rFonts w:ascii="Arial" w:eastAsia="Times New Roman" w:hAnsi="Arial" w:cs="Arial"/>
          <w:color w:val="222222"/>
          <w:sz w:val="18"/>
          <w:szCs w:val="18"/>
          <w:lang w:eastAsia="es-AR"/>
        </w:rPr>
        <w:t xml:space="preserve"> </w:t>
      </w:r>
      <w:proofErr w:type="spellStart"/>
      <w:r w:rsidRPr="00AD0488">
        <w:rPr>
          <w:rFonts w:ascii="Arial" w:eastAsia="Times New Roman" w:hAnsi="Arial" w:cs="Arial"/>
          <w:color w:val="222222"/>
          <w:sz w:val="18"/>
          <w:szCs w:val="18"/>
          <w:lang w:eastAsia="es-AR"/>
        </w:rPr>
        <w:t>Gerontol</w:t>
      </w:r>
      <w:proofErr w:type="spellEnd"/>
      <w:r w:rsidRPr="00AD0488">
        <w:rPr>
          <w:rFonts w:ascii="Arial" w:eastAsia="Times New Roman" w:hAnsi="Arial" w:cs="Arial"/>
          <w:color w:val="222222"/>
          <w:sz w:val="18"/>
          <w:szCs w:val="18"/>
          <w:lang w:eastAsia="es-AR"/>
        </w:rPr>
        <w:t xml:space="preserve">. 2010 Mar-Apr;45(2):89-96. </w:t>
      </w:r>
      <w:proofErr w:type="spellStart"/>
      <w:r w:rsidRPr="00AD0488">
        <w:rPr>
          <w:rFonts w:ascii="Arial" w:eastAsia="Times New Roman" w:hAnsi="Arial" w:cs="Arial"/>
          <w:color w:val="222222"/>
          <w:sz w:val="18"/>
          <w:szCs w:val="18"/>
          <w:lang w:eastAsia="es-AR"/>
        </w:rPr>
        <w:t>PubMed</w:t>
      </w:r>
      <w:proofErr w:type="spellEnd"/>
      <w:r w:rsidRPr="00AD0488">
        <w:rPr>
          <w:rFonts w:ascii="Arial" w:eastAsia="Times New Roman" w:hAnsi="Arial" w:cs="Arial"/>
          <w:color w:val="222222"/>
          <w:sz w:val="18"/>
          <w:szCs w:val="18"/>
          <w:lang w:eastAsia="es-AR"/>
        </w:rPr>
        <w:t> </w:t>
      </w:r>
      <w:hyperlink r:id="rId49" w:tgtFrame="_blank" w:history="1">
        <w:r w:rsidRPr="00AD0488">
          <w:rPr>
            <w:rFonts w:ascii="Arial" w:eastAsia="Times New Roman" w:hAnsi="Arial" w:cs="Arial"/>
            <w:color w:val="008888"/>
            <w:sz w:val="18"/>
            <w:szCs w:val="18"/>
            <w:u w:val="single"/>
            <w:lang w:eastAsia="es-AR"/>
          </w:rPr>
          <w:t>PMID: 20189268</w:t>
        </w:r>
      </w:hyperlink>
    </w:p>
    <w:p w:rsidR="00AD0488" w:rsidRPr="00AD0488" w:rsidRDefault="00AD0488" w:rsidP="00AD0488">
      <w:pPr>
        <w:numPr>
          <w:ilvl w:val="0"/>
          <w:numId w:val="35"/>
        </w:numPr>
        <w:shd w:val="clear" w:color="auto" w:fill="FFFFFF"/>
        <w:spacing w:after="0" w:line="255" w:lineRule="atLeast"/>
        <w:ind w:left="450"/>
        <w:textAlignment w:val="baseline"/>
        <w:rPr>
          <w:rFonts w:ascii="Arial" w:eastAsia="Times New Roman" w:hAnsi="Arial" w:cs="Arial"/>
          <w:color w:val="222222"/>
          <w:sz w:val="18"/>
          <w:szCs w:val="18"/>
          <w:lang w:eastAsia="es-AR"/>
        </w:rPr>
      </w:pPr>
      <w:proofErr w:type="spellStart"/>
      <w:r w:rsidRPr="00AD0488">
        <w:rPr>
          <w:rFonts w:ascii="Arial" w:eastAsia="Times New Roman" w:hAnsi="Arial" w:cs="Arial"/>
          <w:color w:val="222222"/>
          <w:sz w:val="18"/>
          <w:szCs w:val="18"/>
          <w:bdr w:val="none" w:sz="0" w:space="0" w:color="auto" w:frame="1"/>
          <w:lang w:eastAsia="es-AR"/>
        </w:rPr>
        <w:t>National</w:t>
      </w:r>
      <w:proofErr w:type="spellEnd"/>
      <w:r w:rsidRPr="00AD0488">
        <w:rPr>
          <w:rFonts w:ascii="Arial" w:eastAsia="Times New Roman" w:hAnsi="Arial" w:cs="Arial"/>
          <w:color w:val="222222"/>
          <w:sz w:val="18"/>
          <w:szCs w:val="18"/>
          <w:bdr w:val="none" w:sz="0" w:space="0" w:color="auto" w:frame="1"/>
          <w:lang w:eastAsia="es-AR"/>
        </w:rPr>
        <w:t xml:space="preserve"> </w:t>
      </w:r>
      <w:proofErr w:type="spellStart"/>
      <w:r w:rsidRPr="00AD0488">
        <w:rPr>
          <w:rFonts w:ascii="Arial" w:eastAsia="Times New Roman" w:hAnsi="Arial" w:cs="Arial"/>
          <w:color w:val="222222"/>
          <w:sz w:val="18"/>
          <w:szCs w:val="18"/>
          <w:bdr w:val="none" w:sz="0" w:space="0" w:color="auto" w:frame="1"/>
          <w:lang w:eastAsia="es-AR"/>
        </w:rPr>
        <w:t>Institute</w:t>
      </w:r>
      <w:proofErr w:type="spellEnd"/>
      <w:r w:rsidRPr="00AD0488">
        <w:rPr>
          <w:rFonts w:ascii="Arial" w:eastAsia="Times New Roman" w:hAnsi="Arial" w:cs="Arial"/>
          <w:color w:val="222222"/>
          <w:sz w:val="18"/>
          <w:szCs w:val="18"/>
          <w:bdr w:val="none" w:sz="0" w:space="0" w:color="auto" w:frame="1"/>
          <w:lang w:eastAsia="es-AR"/>
        </w:rPr>
        <w:t xml:space="preserve"> </w:t>
      </w:r>
      <w:proofErr w:type="spellStart"/>
      <w:r w:rsidRPr="00AD0488">
        <w:rPr>
          <w:rFonts w:ascii="Arial" w:eastAsia="Times New Roman" w:hAnsi="Arial" w:cs="Arial"/>
          <w:color w:val="222222"/>
          <w:sz w:val="18"/>
          <w:szCs w:val="18"/>
          <w:bdr w:val="none" w:sz="0" w:space="0" w:color="auto" w:frame="1"/>
          <w:lang w:eastAsia="es-AR"/>
        </w:rPr>
        <w:t>for</w:t>
      </w:r>
      <w:proofErr w:type="spellEnd"/>
      <w:r w:rsidRPr="00AD0488">
        <w:rPr>
          <w:rFonts w:ascii="Arial" w:eastAsia="Times New Roman" w:hAnsi="Arial" w:cs="Arial"/>
          <w:color w:val="222222"/>
          <w:sz w:val="18"/>
          <w:szCs w:val="18"/>
          <w:bdr w:val="none" w:sz="0" w:space="0" w:color="auto" w:frame="1"/>
          <w:lang w:eastAsia="es-AR"/>
        </w:rPr>
        <w:t xml:space="preserve"> </w:t>
      </w:r>
      <w:proofErr w:type="spellStart"/>
      <w:r w:rsidRPr="00AD0488">
        <w:rPr>
          <w:rFonts w:ascii="Arial" w:eastAsia="Times New Roman" w:hAnsi="Arial" w:cs="Arial"/>
          <w:color w:val="222222"/>
          <w:sz w:val="18"/>
          <w:szCs w:val="18"/>
          <w:bdr w:val="none" w:sz="0" w:space="0" w:color="auto" w:frame="1"/>
          <w:lang w:eastAsia="es-AR"/>
        </w:rPr>
        <w:t>Health</w:t>
      </w:r>
      <w:proofErr w:type="spellEnd"/>
      <w:r w:rsidRPr="00AD0488">
        <w:rPr>
          <w:rFonts w:ascii="Arial" w:eastAsia="Times New Roman" w:hAnsi="Arial" w:cs="Arial"/>
          <w:color w:val="222222"/>
          <w:sz w:val="18"/>
          <w:szCs w:val="18"/>
          <w:bdr w:val="none" w:sz="0" w:space="0" w:color="auto" w:frame="1"/>
          <w:lang w:eastAsia="es-AR"/>
        </w:rPr>
        <w:t xml:space="preserve"> and </w:t>
      </w:r>
      <w:proofErr w:type="spellStart"/>
      <w:r w:rsidRPr="00AD0488">
        <w:rPr>
          <w:rFonts w:ascii="Arial" w:eastAsia="Times New Roman" w:hAnsi="Arial" w:cs="Arial"/>
          <w:color w:val="222222"/>
          <w:sz w:val="18"/>
          <w:szCs w:val="18"/>
          <w:bdr w:val="none" w:sz="0" w:space="0" w:color="auto" w:frame="1"/>
          <w:lang w:eastAsia="es-AR"/>
        </w:rPr>
        <w:t>Clinical</w:t>
      </w:r>
      <w:proofErr w:type="spellEnd"/>
      <w:r w:rsidRPr="00AD0488">
        <w:rPr>
          <w:rFonts w:ascii="Arial" w:eastAsia="Times New Roman" w:hAnsi="Arial" w:cs="Arial"/>
          <w:color w:val="222222"/>
          <w:sz w:val="18"/>
          <w:szCs w:val="18"/>
          <w:bdr w:val="none" w:sz="0" w:space="0" w:color="auto" w:frame="1"/>
          <w:lang w:eastAsia="es-AR"/>
        </w:rPr>
        <w:t xml:space="preserve"> </w:t>
      </w:r>
      <w:proofErr w:type="spellStart"/>
      <w:r w:rsidRPr="00AD0488">
        <w:rPr>
          <w:rFonts w:ascii="Arial" w:eastAsia="Times New Roman" w:hAnsi="Arial" w:cs="Arial"/>
          <w:color w:val="222222"/>
          <w:sz w:val="18"/>
          <w:szCs w:val="18"/>
          <w:bdr w:val="none" w:sz="0" w:space="0" w:color="auto" w:frame="1"/>
          <w:lang w:eastAsia="es-AR"/>
        </w:rPr>
        <w:t>Excellence</w:t>
      </w:r>
      <w:proofErr w:type="spellEnd"/>
      <w:r w:rsidRPr="00AD0488">
        <w:rPr>
          <w:rFonts w:ascii="Arial" w:eastAsia="Times New Roman" w:hAnsi="Arial" w:cs="Arial"/>
          <w:color w:val="222222"/>
          <w:sz w:val="18"/>
          <w:szCs w:val="18"/>
          <w:bdr w:val="none" w:sz="0" w:space="0" w:color="auto" w:frame="1"/>
          <w:lang w:eastAsia="es-AR"/>
        </w:rPr>
        <w:t xml:space="preserve"> (NICE). </w:t>
      </w:r>
      <w:proofErr w:type="spellStart"/>
      <w:r w:rsidRPr="00AD0488">
        <w:rPr>
          <w:rFonts w:ascii="Arial" w:eastAsia="Times New Roman" w:hAnsi="Arial" w:cs="Arial"/>
          <w:color w:val="222222"/>
          <w:sz w:val="18"/>
          <w:szCs w:val="18"/>
          <w:bdr w:val="none" w:sz="0" w:space="0" w:color="auto" w:frame="1"/>
          <w:lang w:eastAsia="es-AR"/>
        </w:rPr>
        <w:t>Donepezil</w:t>
      </w:r>
      <w:proofErr w:type="spellEnd"/>
      <w:r w:rsidRPr="00AD0488">
        <w:rPr>
          <w:rFonts w:ascii="Arial" w:eastAsia="Times New Roman" w:hAnsi="Arial" w:cs="Arial"/>
          <w:color w:val="222222"/>
          <w:sz w:val="18"/>
          <w:szCs w:val="18"/>
          <w:bdr w:val="none" w:sz="0" w:space="0" w:color="auto" w:frame="1"/>
          <w:lang w:eastAsia="es-AR"/>
        </w:rPr>
        <w:t xml:space="preserve">, </w:t>
      </w:r>
      <w:proofErr w:type="spellStart"/>
      <w:r w:rsidRPr="00AD0488">
        <w:rPr>
          <w:rFonts w:ascii="Arial" w:eastAsia="Times New Roman" w:hAnsi="Arial" w:cs="Arial"/>
          <w:color w:val="222222"/>
          <w:sz w:val="18"/>
          <w:szCs w:val="18"/>
          <w:bdr w:val="none" w:sz="0" w:space="0" w:color="auto" w:frame="1"/>
          <w:lang w:eastAsia="es-AR"/>
        </w:rPr>
        <w:t>galantamine</w:t>
      </w:r>
      <w:proofErr w:type="spellEnd"/>
      <w:r w:rsidRPr="00AD0488">
        <w:rPr>
          <w:rFonts w:ascii="Arial" w:eastAsia="Times New Roman" w:hAnsi="Arial" w:cs="Arial"/>
          <w:color w:val="222222"/>
          <w:sz w:val="18"/>
          <w:szCs w:val="18"/>
          <w:bdr w:val="none" w:sz="0" w:space="0" w:color="auto" w:frame="1"/>
          <w:lang w:eastAsia="es-AR"/>
        </w:rPr>
        <w:t xml:space="preserve">, </w:t>
      </w:r>
      <w:proofErr w:type="spellStart"/>
      <w:r w:rsidRPr="00AD0488">
        <w:rPr>
          <w:rFonts w:ascii="Arial" w:eastAsia="Times New Roman" w:hAnsi="Arial" w:cs="Arial"/>
          <w:color w:val="222222"/>
          <w:sz w:val="18"/>
          <w:szCs w:val="18"/>
          <w:bdr w:val="none" w:sz="0" w:space="0" w:color="auto" w:frame="1"/>
          <w:lang w:eastAsia="es-AR"/>
        </w:rPr>
        <w:t>rivastigmine</w:t>
      </w:r>
      <w:proofErr w:type="spellEnd"/>
      <w:r w:rsidRPr="00AD0488">
        <w:rPr>
          <w:rFonts w:ascii="Arial" w:eastAsia="Times New Roman" w:hAnsi="Arial" w:cs="Arial"/>
          <w:color w:val="222222"/>
          <w:sz w:val="18"/>
          <w:szCs w:val="18"/>
          <w:bdr w:val="none" w:sz="0" w:space="0" w:color="auto" w:frame="1"/>
          <w:lang w:eastAsia="es-AR"/>
        </w:rPr>
        <w:t xml:space="preserve"> and </w:t>
      </w:r>
      <w:proofErr w:type="spellStart"/>
      <w:r w:rsidRPr="00AD0488">
        <w:rPr>
          <w:rFonts w:ascii="Arial" w:eastAsia="Times New Roman" w:hAnsi="Arial" w:cs="Arial"/>
          <w:color w:val="222222"/>
          <w:sz w:val="18"/>
          <w:szCs w:val="18"/>
          <w:bdr w:val="none" w:sz="0" w:space="0" w:color="auto" w:frame="1"/>
          <w:lang w:eastAsia="es-AR"/>
        </w:rPr>
        <w:t>memantine</w:t>
      </w:r>
      <w:proofErr w:type="spellEnd"/>
      <w:r w:rsidRPr="00AD0488">
        <w:rPr>
          <w:rFonts w:ascii="Arial" w:eastAsia="Times New Roman" w:hAnsi="Arial" w:cs="Arial"/>
          <w:color w:val="222222"/>
          <w:sz w:val="18"/>
          <w:szCs w:val="18"/>
          <w:bdr w:val="none" w:sz="0" w:space="0" w:color="auto" w:frame="1"/>
          <w:lang w:eastAsia="es-AR"/>
        </w:rPr>
        <w:t xml:space="preserve"> </w:t>
      </w:r>
      <w:proofErr w:type="spellStart"/>
      <w:r w:rsidRPr="00AD0488">
        <w:rPr>
          <w:rFonts w:ascii="Arial" w:eastAsia="Times New Roman" w:hAnsi="Arial" w:cs="Arial"/>
          <w:color w:val="222222"/>
          <w:sz w:val="18"/>
          <w:szCs w:val="18"/>
          <w:bdr w:val="none" w:sz="0" w:space="0" w:color="auto" w:frame="1"/>
          <w:lang w:eastAsia="es-AR"/>
        </w:rPr>
        <w:t>for</w:t>
      </w:r>
      <w:proofErr w:type="spellEnd"/>
      <w:r w:rsidRPr="00AD0488">
        <w:rPr>
          <w:rFonts w:ascii="Arial" w:eastAsia="Times New Roman" w:hAnsi="Arial" w:cs="Arial"/>
          <w:color w:val="222222"/>
          <w:sz w:val="18"/>
          <w:szCs w:val="18"/>
          <w:bdr w:val="none" w:sz="0" w:space="0" w:color="auto" w:frame="1"/>
          <w:lang w:eastAsia="es-AR"/>
        </w:rPr>
        <w:t xml:space="preserve"> </w:t>
      </w:r>
      <w:proofErr w:type="spellStart"/>
      <w:r w:rsidRPr="00AD0488">
        <w:rPr>
          <w:rFonts w:ascii="Arial" w:eastAsia="Times New Roman" w:hAnsi="Arial" w:cs="Arial"/>
          <w:color w:val="222222"/>
          <w:sz w:val="18"/>
          <w:szCs w:val="18"/>
          <w:bdr w:val="none" w:sz="0" w:space="0" w:color="auto" w:frame="1"/>
          <w:lang w:eastAsia="es-AR"/>
        </w:rPr>
        <w:t>the</w:t>
      </w:r>
      <w:proofErr w:type="spellEnd"/>
      <w:r w:rsidRPr="00AD0488">
        <w:rPr>
          <w:rFonts w:ascii="Arial" w:eastAsia="Times New Roman" w:hAnsi="Arial" w:cs="Arial"/>
          <w:color w:val="222222"/>
          <w:sz w:val="18"/>
          <w:szCs w:val="18"/>
          <w:bdr w:val="none" w:sz="0" w:space="0" w:color="auto" w:frame="1"/>
          <w:lang w:eastAsia="es-AR"/>
        </w:rPr>
        <w:t xml:space="preserve"> </w:t>
      </w:r>
      <w:proofErr w:type="spellStart"/>
      <w:r w:rsidRPr="00AD0488">
        <w:rPr>
          <w:rFonts w:ascii="Arial" w:eastAsia="Times New Roman" w:hAnsi="Arial" w:cs="Arial"/>
          <w:color w:val="222222"/>
          <w:sz w:val="18"/>
          <w:szCs w:val="18"/>
          <w:bdr w:val="none" w:sz="0" w:space="0" w:color="auto" w:frame="1"/>
          <w:lang w:eastAsia="es-AR"/>
        </w:rPr>
        <w:t>treatment</w:t>
      </w:r>
      <w:proofErr w:type="spellEnd"/>
      <w:r w:rsidRPr="00AD0488">
        <w:rPr>
          <w:rFonts w:ascii="Arial" w:eastAsia="Times New Roman" w:hAnsi="Arial" w:cs="Arial"/>
          <w:color w:val="222222"/>
          <w:sz w:val="18"/>
          <w:szCs w:val="18"/>
          <w:bdr w:val="none" w:sz="0" w:space="0" w:color="auto" w:frame="1"/>
          <w:lang w:eastAsia="es-AR"/>
        </w:rPr>
        <w:t xml:space="preserve"> of </w:t>
      </w:r>
      <w:proofErr w:type="spellStart"/>
      <w:r w:rsidRPr="00AD0488">
        <w:rPr>
          <w:rFonts w:ascii="Arial" w:eastAsia="Times New Roman" w:hAnsi="Arial" w:cs="Arial"/>
          <w:color w:val="222222"/>
          <w:sz w:val="18"/>
          <w:szCs w:val="18"/>
          <w:bdr w:val="none" w:sz="0" w:space="0" w:color="auto" w:frame="1"/>
          <w:lang w:eastAsia="es-AR"/>
        </w:rPr>
        <w:t>Alzheimer's</w:t>
      </w:r>
      <w:proofErr w:type="spellEnd"/>
      <w:r w:rsidRPr="00AD0488">
        <w:rPr>
          <w:rFonts w:ascii="Arial" w:eastAsia="Times New Roman" w:hAnsi="Arial" w:cs="Arial"/>
          <w:color w:val="222222"/>
          <w:sz w:val="18"/>
          <w:szCs w:val="18"/>
          <w:bdr w:val="none" w:sz="0" w:space="0" w:color="auto" w:frame="1"/>
          <w:lang w:eastAsia="es-AR"/>
        </w:rPr>
        <w:t xml:space="preserve"> </w:t>
      </w:r>
      <w:proofErr w:type="spellStart"/>
      <w:r w:rsidRPr="00AD0488">
        <w:rPr>
          <w:rFonts w:ascii="Arial" w:eastAsia="Times New Roman" w:hAnsi="Arial" w:cs="Arial"/>
          <w:color w:val="222222"/>
          <w:sz w:val="18"/>
          <w:szCs w:val="18"/>
          <w:bdr w:val="none" w:sz="0" w:space="0" w:color="auto" w:frame="1"/>
          <w:lang w:eastAsia="es-AR"/>
        </w:rPr>
        <w:t>disease</w:t>
      </w:r>
      <w:proofErr w:type="spellEnd"/>
      <w:r w:rsidRPr="00AD0488">
        <w:rPr>
          <w:rFonts w:ascii="Arial" w:eastAsia="Times New Roman" w:hAnsi="Arial" w:cs="Arial"/>
          <w:color w:val="222222"/>
          <w:sz w:val="18"/>
          <w:szCs w:val="18"/>
          <w:bdr w:val="none" w:sz="0" w:space="0" w:color="auto" w:frame="1"/>
          <w:lang w:eastAsia="es-AR"/>
        </w:rPr>
        <w:t xml:space="preserve">. London (UK): </w:t>
      </w:r>
      <w:proofErr w:type="spellStart"/>
      <w:r w:rsidRPr="00AD0488">
        <w:rPr>
          <w:rFonts w:ascii="Arial" w:eastAsia="Times New Roman" w:hAnsi="Arial" w:cs="Arial"/>
          <w:color w:val="222222"/>
          <w:sz w:val="18"/>
          <w:szCs w:val="18"/>
          <w:bdr w:val="none" w:sz="0" w:space="0" w:color="auto" w:frame="1"/>
          <w:lang w:eastAsia="es-AR"/>
        </w:rPr>
        <w:t>National</w:t>
      </w:r>
      <w:proofErr w:type="spellEnd"/>
      <w:r w:rsidRPr="00AD0488">
        <w:rPr>
          <w:rFonts w:ascii="Arial" w:eastAsia="Times New Roman" w:hAnsi="Arial" w:cs="Arial"/>
          <w:color w:val="222222"/>
          <w:sz w:val="18"/>
          <w:szCs w:val="18"/>
          <w:bdr w:val="none" w:sz="0" w:space="0" w:color="auto" w:frame="1"/>
          <w:lang w:eastAsia="es-AR"/>
        </w:rPr>
        <w:t xml:space="preserve"> </w:t>
      </w:r>
      <w:proofErr w:type="spellStart"/>
      <w:r w:rsidRPr="00AD0488">
        <w:rPr>
          <w:rFonts w:ascii="Arial" w:eastAsia="Times New Roman" w:hAnsi="Arial" w:cs="Arial"/>
          <w:color w:val="222222"/>
          <w:sz w:val="18"/>
          <w:szCs w:val="18"/>
          <w:bdr w:val="none" w:sz="0" w:space="0" w:color="auto" w:frame="1"/>
          <w:lang w:eastAsia="es-AR"/>
        </w:rPr>
        <w:t>Institute</w:t>
      </w:r>
      <w:proofErr w:type="spellEnd"/>
      <w:r w:rsidRPr="00AD0488">
        <w:rPr>
          <w:rFonts w:ascii="Arial" w:eastAsia="Times New Roman" w:hAnsi="Arial" w:cs="Arial"/>
          <w:color w:val="222222"/>
          <w:sz w:val="18"/>
          <w:szCs w:val="18"/>
          <w:bdr w:val="none" w:sz="0" w:space="0" w:color="auto" w:frame="1"/>
          <w:lang w:eastAsia="es-AR"/>
        </w:rPr>
        <w:t xml:space="preserve"> </w:t>
      </w:r>
      <w:proofErr w:type="spellStart"/>
      <w:r w:rsidRPr="00AD0488">
        <w:rPr>
          <w:rFonts w:ascii="Arial" w:eastAsia="Times New Roman" w:hAnsi="Arial" w:cs="Arial"/>
          <w:color w:val="222222"/>
          <w:sz w:val="18"/>
          <w:szCs w:val="18"/>
          <w:bdr w:val="none" w:sz="0" w:space="0" w:color="auto" w:frame="1"/>
          <w:lang w:eastAsia="es-AR"/>
        </w:rPr>
        <w:t>for</w:t>
      </w:r>
      <w:proofErr w:type="spellEnd"/>
      <w:r w:rsidRPr="00AD0488">
        <w:rPr>
          <w:rFonts w:ascii="Arial" w:eastAsia="Times New Roman" w:hAnsi="Arial" w:cs="Arial"/>
          <w:color w:val="222222"/>
          <w:sz w:val="18"/>
          <w:szCs w:val="18"/>
          <w:bdr w:val="none" w:sz="0" w:space="0" w:color="auto" w:frame="1"/>
          <w:lang w:eastAsia="es-AR"/>
        </w:rPr>
        <w:t xml:space="preserve"> </w:t>
      </w:r>
      <w:proofErr w:type="spellStart"/>
      <w:r w:rsidRPr="00AD0488">
        <w:rPr>
          <w:rFonts w:ascii="Arial" w:eastAsia="Times New Roman" w:hAnsi="Arial" w:cs="Arial"/>
          <w:color w:val="222222"/>
          <w:sz w:val="18"/>
          <w:szCs w:val="18"/>
          <w:bdr w:val="none" w:sz="0" w:space="0" w:color="auto" w:frame="1"/>
          <w:lang w:eastAsia="es-AR"/>
        </w:rPr>
        <w:t>Health</w:t>
      </w:r>
      <w:proofErr w:type="spellEnd"/>
      <w:r w:rsidRPr="00AD0488">
        <w:rPr>
          <w:rFonts w:ascii="Arial" w:eastAsia="Times New Roman" w:hAnsi="Arial" w:cs="Arial"/>
          <w:color w:val="222222"/>
          <w:sz w:val="18"/>
          <w:szCs w:val="18"/>
          <w:bdr w:val="none" w:sz="0" w:space="0" w:color="auto" w:frame="1"/>
          <w:lang w:eastAsia="es-AR"/>
        </w:rPr>
        <w:t xml:space="preserve"> and </w:t>
      </w:r>
      <w:proofErr w:type="spellStart"/>
      <w:r w:rsidRPr="00AD0488">
        <w:rPr>
          <w:rFonts w:ascii="Arial" w:eastAsia="Times New Roman" w:hAnsi="Arial" w:cs="Arial"/>
          <w:color w:val="222222"/>
          <w:sz w:val="18"/>
          <w:szCs w:val="18"/>
          <w:bdr w:val="none" w:sz="0" w:space="0" w:color="auto" w:frame="1"/>
          <w:lang w:eastAsia="es-AR"/>
        </w:rPr>
        <w:t>Clinical</w:t>
      </w:r>
      <w:proofErr w:type="spellEnd"/>
      <w:r w:rsidRPr="00AD0488">
        <w:rPr>
          <w:rFonts w:ascii="Arial" w:eastAsia="Times New Roman" w:hAnsi="Arial" w:cs="Arial"/>
          <w:color w:val="222222"/>
          <w:sz w:val="18"/>
          <w:szCs w:val="18"/>
          <w:bdr w:val="none" w:sz="0" w:space="0" w:color="auto" w:frame="1"/>
          <w:lang w:eastAsia="es-AR"/>
        </w:rPr>
        <w:t xml:space="preserve"> </w:t>
      </w:r>
      <w:proofErr w:type="spellStart"/>
      <w:r w:rsidRPr="00AD0488">
        <w:rPr>
          <w:rFonts w:ascii="Arial" w:eastAsia="Times New Roman" w:hAnsi="Arial" w:cs="Arial"/>
          <w:color w:val="222222"/>
          <w:sz w:val="18"/>
          <w:szCs w:val="18"/>
          <w:bdr w:val="none" w:sz="0" w:space="0" w:color="auto" w:frame="1"/>
          <w:lang w:eastAsia="es-AR"/>
        </w:rPr>
        <w:t>Excellence</w:t>
      </w:r>
      <w:proofErr w:type="spellEnd"/>
      <w:r w:rsidRPr="00AD0488">
        <w:rPr>
          <w:rFonts w:ascii="Arial" w:eastAsia="Times New Roman" w:hAnsi="Arial" w:cs="Arial"/>
          <w:color w:val="222222"/>
          <w:sz w:val="18"/>
          <w:szCs w:val="18"/>
          <w:bdr w:val="none" w:sz="0" w:space="0" w:color="auto" w:frame="1"/>
          <w:lang w:eastAsia="es-AR"/>
        </w:rPr>
        <w:t xml:space="preserve"> (NICE); 2011 Mar. 84 p. (</w:t>
      </w:r>
      <w:proofErr w:type="spellStart"/>
      <w:r w:rsidRPr="00AD0488">
        <w:rPr>
          <w:rFonts w:ascii="Arial" w:eastAsia="Times New Roman" w:hAnsi="Arial" w:cs="Arial"/>
          <w:color w:val="222222"/>
          <w:sz w:val="18"/>
          <w:szCs w:val="18"/>
          <w:bdr w:val="none" w:sz="0" w:space="0" w:color="auto" w:frame="1"/>
          <w:lang w:eastAsia="es-AR"/>
        </w:rPr>
        <w:t>Technology</w:t>
      </w:r>
      <w:proofErr w:type="spellEnd"/>
      <w:r w:rsidRPr="00AD0488">
        <w:rPr>
          <w:rFonts w:ascii="Arial" w:eastAsia="Times New Roman" w:hAnsi="Arial" w:cs="Arial"/>
          <w:color w:val="222222"/>
          <w:sz w:val="18"/>
          <w:szCs w:val="18"/>
          <w:bdr w:val="none" w:sz="0" w:space="0" w:color="auto" w:frame="1"/>
          <w:lang w:eastAsia="es-AR"/>
        </w:rPr>
        <w:t xml:space="preserve"> </w:t>
      </w:r>
      <w:proofErr w:type="spellStart"/>
      <w:r w:rsidRPr="00AD0488">
        <w:rPr>
          <w:rFonts w:ascii="Arial" w:eastAsia="Times New Roman" w:hAnsi="Arial" w:cs="Arial"/>
          <w:color w:val="222222"/>
          <w:sz w:val="18"/>
          <w:szCs w:val="18"/>
          <w:bdr w:val="none" w:sz="0" w:space="0" w:color="auto" w:frame="1"/>
          <w:lang w:eastAsia="es-AR"/>
        </w:rPr>
        <w:t>appraisal</w:t>
      </w:r>
      <w:proofErr w:type="spellEnd"/>
      <w:r w:rsidRPr="00AD0488">
        <w:rPr>
          <w:rFonts w:ascii="Arial" w:eastAsia="Times New Roman" w:hAnsi="Arial" w:cs="Arial"/>
          <w:color w:val="222222"/>
          <w:sz w:val="18"/>
          <w:szCs w:val="18"/>
          <w:bdr w:val="none" w:sz="0" w:space="0" w:color="auto" w:frame="1"/>
          <w:lang w:eastAsia="es-AR"/>
        </w:rPr>
        <w:t xml:space="preserve"> </w:t>
      </w:r>
      <w:proofErr w:type="spellStart"/>
      <w:r w:rsidRPr="00AD0488">
        <w:rPr>
          <w:rFonts w:ascii="Arial" w:eastAsia="Times New Roman" w:hAnsi="Arial" w:cs="Arial"/>
          <w:color w:val="222222"/>
          <w:sz w:val="18"/>
          <w:szCs w:val="18"/>
          <w:bdr w:val="none" w:sz="0" w:space="0" w:color="auto" w:frame="1"/>
          <w:lang w:eastAsia="es-AR"/>
        </w:rPr>
        <w:t>guidance</w:t>
      </w:r>
      <w:proofErr w:type="spellEnd"/>
      <w:r w:rsidRPr="00AD0488">
        <w:rPr>
          <w:rFonts w:ascii="Arial" w:eastAsia="Times New Roman" w:hAnsi="Arial" w:cs="Arial"/>
          <w:color w:val="222222"/>
          <w:sz w:val="18"/>
          <w:szCs w:val="18"/>
          <w:bdr w:val="none" w:sz="0" w:space="0" w:color="auto" w:frame="1"/>
          <w:lang w:eastAsia="es-AR"/>
        </w:rPr>
        <w:t>; no. 217). </w:t>
      </w:r>
      <w:hyperlink r:id="rId50" w:tgtFrame="_blank" w:history="1">
        <w:r w:rsidRPr="00AD0488">
          <w:rPr>
            <w:rFonts w:ascii="Arial" w:eastAsia="Times New Roman" w:hAnsi="Arial" w:cs="Arial"/>
            <w:color w:val="008888"/>
            <w:sz w:val="18"/>
            <w:szCs w:val="18"/>
            <w:u w:val="single"/>
            <w:lang w:eastAsia="es-AR"/>
          </w:rPr>
          <w:t>Texto completo</w:t>
        </w:r>
      </w:hyperlink>
    </w:p>
    <w:p w:rsidR="00AD0488" w:rsidRPr="00AD0488" w:rsidRDefault="00AD0488" w:rsidP="00AD0488">
      <w:pPr>
        <w:numPr>
          <w:ilvl w:val="0"/>
          <w:numId w:val="35"/>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AD0488">
        <w:rPr>
          <w:rFonts w:ascii="Arial" w:eastAsia="Times New Roman" w:hAnsi="Arial" w:cs="Arial"/>
          <w:color w:val="222222"/>
          <w:sz w:val="18"/>
          <w:szCs w:val="18"/>
          <w:bdr w:val="none" w:sz="0" w:space="0" w:color="auto" w:frame="1"/>
          <w:lang w:eastAsia="es-AR"/>
        </w:rPr>
        <w:t xml:space="preserve">Scottish </w:t>
      </w:r>
      <w:proofErr w:type="spellStart"/>
      <w:r w:rsidRPr="00AD0488">
        <w:rPr>
          <w:rFonts w:ascii="Arial" w:eastAsia="Times New Roman" w:hAnsi="Arial" w:cs="Arial"/>
          <w:color w:val="222222"/>
          <w:sz w:val="18"/>
          <w:szCs w:val="18"/>
          <w:bdr w:val="none" w:sz="0" w:space="0" w:color="auto" w:frame="1"/>
          <w:lang w:eastAsia="es-AR"/>
        </w:rPr>
        <w:t>Intercollegiate</w:t>
      </w:r>
      <w:proofErr w:type="spellEnd"/>
      <w:r w:rsidRPr="00AD0488">
        <w:rPr>
          <w:rFonts w:ascii="Arial" w:eastAsia="Times New Roman" w:hAnsi="Arial" w:cs="Arial"/>
          <w:color w:val="222222"/>
          <w:sz w:val="18"/>
          <w:szCs w:val="18"/>
          <w:bdr w:val="none" w:sz="0" w:space="0" w:color="auto" w:frame="1"/>
          <w:lang w:eastAsia="es-AR"/>
        </w:rPr>
        <w:t xml:space="preserve"> </w:t>
      </w:r>
      <w:proofErr w:type="spellStart"/>
      <w:r w:rsidRPr="00AD0488">
        <w:rPr>
          <w:rFonts w:ascii="Arial" w:eastAsia="Times New Roman" w:hAnsi="Arial" w:cs="Arial"/>
          <w:color w:val="222222"/>
          <w:sz w:val="18"/>
          <w:szCs w:val="18"/>
          <w:bdr w:val="none" w:sz="0" w:space="0" w:color="auto" w:frame="1"/>
          <w:lang w:eastAsia="es-AR"/>
        </w:rPr>
        <w:t>Guidelines</w:t>
      </w:r>
      <w:proofErr w:type="spellEnd"/>
      <w:r w:rsidRPr="00AD0488">
        <w:rPr>
          <w:rFonts w:ascii="Arial" w:eastAsia="Times New Roman" w:hAnsi="Arial" w:cs="Arial"/>
          <w:color w:val="222222"/>
          <w:sz w:val="18"/>
          <w:szCs w:val="18"/>
          <w:bdr w:val="none" w:sz="0" w:space="0" w:color="auto" w:frame="1"/>
          <w:lang w:eastAsia="es-AR"/>
        </w:rPr>
        <w:t xml:space="preserve"> Network. Management of </w:t>
      </w:r>
      <w:proofErr w:type="spellStart"/>
      <w:r w:rsidRPr="00AD0488">
        <w:rPr>
          <w:rFonts w:ascii="Arial" w:eastAsia="Times New Roman" w:hAnsi="Arial" w:cs="Arial"/>
          <w:color w:val="222222"/>
          <w:sz w:val="18"/>
          <w:szCs w:val="18"/>
          <w:bdr w:val="none" w:sz="0" w:space="0" w:color="auto" w:frame="1"/>
          <w:lang w:eastAsia="es-AR"/>
        </w:rPr>
        <w:t>patients</w:t>
      </w:r>
      <w:proofErr w:type="spellEnd"/>
      <w:r w:rsidRPr="00AD0488">
        <w:rPr>
          <w:rFonts w:ascii="Arial" w:eastAsia="Times New Roman" w:hAnsi="Arial" w:cs="Arial"/>
          <w:color w:val="222222"/>
          <w:sz w:val="18"/>
          <w:szCs w:val="18"/>
          <w:bdr w:val="none" w:sz="0" w:space="0" w:color="auto" w:frame="1"/>
          <w:lang w:eastAsia="es-AR"/>
        </w:rPr>
        <w:t xml:space="preserve"> </w:t>
      </w:r>
      <w:proofErr w:type="spellStart"/>
      <w:r w:rsidRPr="00AD0488">
        <w:rPr>
          <w:rFonts w:ascii="Arial" w:eastAsia="Times New Roman" w:hAnsi="Arial" w:cs="Arial"/>
          <w:color w:val="222222"/>
          <w:sz w:val="18"/>
          <w:szCs w:val="18"/>
          <w:bdr w:val="none" w:sz="0" w:space="0" w:color="auto" w:frame="1"/>
          <w:lang w:eastAsia="es-AR"/>
        </w:rPr>
        <w:t>with</w:t>
      </w:r>
      <w:proofErr w:type="spellEnd"/>
      <w:r w:rsidRPr="00AD0488">
        <w:rPr>
          <w:rFonts w:ascii="Arial" w:eastAsia="Times New Roman" w:hAnsi="Arial" w:cs="Arial"/>
          <w:color w:val="222222"/>
          <w:sz w:val="18"/>
          <w:szCs w:val="18"/>
          <w:bdr w:val="none" w:sz="0" w:space="0" w:color="auto" w:frame="1"/>
          <w:lang w:eastAsia="es-AR"/>
        </w:rPr>
        <w:t xml:space="preserve"> </w:t>
      </w:r>
      <w:proofErr w:type="spellStart"/>
      <w:r w:rsidRPr="00AD0488">
        <w:rPr>
          <w:rFonts w:ascii="Arial" w:eastAsia="Times New Roman" w:hAnsi="Arial" w:cs="Arial"/>
          <w:color w:val="222222"/>
          <w:sz w:val="18"/>
          <w:szCs w:val="18"/>
          <w:bdr w:val="none" w:sz="0" w:space="0" w:color="auto" w:frame="1"/>
          <w:lang w:eastAsia="es-AR"/>
        </w:rPr>
        <w:t>dementia</w:t>
      </w:r>
      <w:proofErr w:type="spellEnd"/>
      <w:r w:rsidRPr="00AD0488">
        <w:rPr>
          <w:rFonts w:ascii="Arial" w:eastAsia="Times New Roman" w:hAnsi="Arial" w:cs="Arial"/>
          <w:color w:val="222222"/>
          <w:sz w:val="18"/>
          <w:szCs w:val="18"/>
          <w:bdr w:val="none" w:sz="0" w:space="0" w:color="auto" w:frame="1"/>
          <w:lang w:eastAsia="es-AR"/>
        </w:rPr>
        <w:t xml:space="preserve"> [Internet]. SIGN- 86; </w:t>
      </w:r>
      <w:proofErr w:type="spellStart"/>
      <w:r w:rsidRPr="00AD0488">
        <w:rPr>
          <w:rFonts w:ascii="Arial" w:eastAsia="Times New Roman" w:hAnsi="Arial" w:cs="Arial"/>
          <w:color w:val="222222"/>
          <w:sz w:val="18"/>
          <w:szCs w:val="18"/>
          <w:bdr w:val="none" w:sz="0" w:space="0" w:color="auto" w:frame="1"/>
          <w:lang w:eastAsia="es-AR"/>
        </w:rPr>
        <w:t>February</w:t>
      </w:r>
      <w:proofErr w:type="spellEnd"/>
      <w:r w:rsidRPr="00AD0488">
        <w:rPr>
          <w:rFonts w:ascii="Arial" w:eastAsia="Times New Roman" w:hAnsi="Arial" w:cs="Arial"/>
          <w:color w:val="222222"/>
          <w:sz w:val="18"/>
          <w:szCs w:val="18"/>
          <w:bdr w:val="none" w:sz="0" w:space="0" w:color="auto" w:frame="1"/>
          <w:lang w:eastAsia="es-AR"/>
        </w:rPr>
        <w:t xml:space="preserve"> 2006 [acceso 8/01/2013]. Disponible en: </w:t>
      </w:r>
      <w:hyperlink r:id="rId51" w:tgtFrame="_blank" w:history="1">
        <w:r w:rsidRPr="00AD0488">
          <w:rPr>
            <w:rFonts w:ascii="Arial" w:eastAsia="Times New Roman" w:hAnsi="Arial" w:cs="Arial"/>
            <w:color w:val="008888"/>
            <w:sz w:val="18"/>
            <w:szCs w:val="18"/>
            <w:u w:val="single"/>
            <w:lang w:eastAsia="es-AR"/>
          </w:rPr>
          <w:t>http://www.sign.ac.uk/pdf/sign86.pdf</w:t>
        </w:r>
      </w:hyperlink>
    </w:p>
    <w:p w:rsidR="00035E70" w:rsidRPr="00AD0488" w:rsidRDefault="00035E70" w:rsidP="00AD0488"/>
    <w:sectPr w:rsidR="00035E70" w:rsidRPr="00AD04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869"/>
    <w:multiLevelType w:val="multilevel"/>
    <w:tmpl w:val="49360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470E7"/>
    <w:multiLevelType w:val="multilevel"/>
    <w:tmpl w:val="59D2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35EC0"/>
    <w:multiLevelType w:val="multilevel"/>
    <w:tmpl w:val="70D4F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C32EE"/>
    <w:multiLevelType w:val="multilevel"/>
    <w:tmpl w:val="1A1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548DC"/>
    <w:multiLevelType w:val="multilevel"/>
    <w:tmpl w:val="AD367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345BD5"/>
    <w:multiLevelType w:val="multilevel"/>
    <w:tmpl w:val="7CD4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E05B3"/>
    <w:multiLevelType w:val="multilevel"/>
    <w:tmpl w:val="8F56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274EB"/>
    <w:multiLevelType w:val="multilevel"/>
    <w:tmpl w:val="5C74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055B44"/>
    <w:multiLevelType w:val="multilevel"/>
    <w:tmpl w:val="2B3AA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E25F31"/>
    <w:multiLevelType w:val="multilevel"/>
    <w:tmpl w:val="30D2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5D6787"/>
    <w:multiLevelType w:val="multilevel"/>
    <w:tmpl w:val="ED8A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6E711D"/>
    <w:multiLevelType w:val="multilevel"/>
    <w:tmpl w:val="77E8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D44586"/>
    <w:multiLevelType w:val="multilevel"/>
    <w:tmpl w:val="DCAC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184B97"/>
    <w:multiLevelType w:val="multilevel"/>
    <w:tmpl w:val="5CB2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921E96"/>
    <w:multiLevelType w:val="multilevel"/>
    <w:tmpl w:val="2C1A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906854"/>
    <w:multiLevelType w:val="multilevel"/>
    <w:tmpl w:val="6698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D106FB"/>
    <w:multiLevelType w:val="multilevel"/>
    <w:tmpl w:val="DA66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38387C"/>
    <w:multiLevelType w:val="multilevel"/>
    <w:tmpl w:val="3ECA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EE5F20"/>
    <w:multiLevelType w:val="multilevel"/>
    <w:tmpl w:val="2786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A9352D"/>
    <w:multiLevelType w:val="multilevel"/>
    <w:tmpl w:val="93B4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CC3641"/>
    <w:multiLevelType w:val="multilevel"/>
    <w:tmpl w:val="2176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576F5B"/>
    <w:multiLevelType w:val="multilevel"/>
    <w:tmpl w:val="A6B4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9943FA"/>
    <w:multiLevelType w:val="multilevel"/>
    <w:tmpl w:val="36D6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1E2323"/>
    <w:multiLevelType w:val="multilevel"/>
    <w:tmpl w:val="666E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78682F"/>
    <w:multiLevelType w:val="multilevel"/>
    <w:tmpl w:val="3C98E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2F1682"/>
    <w:multiLevelType w:val="multilevel"/>
    <w:tmpl w:val="3A7E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EF3718"/>
    <w:multiLevelType w:val="multilevel"/>
    <w:tmpl w:val="B090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F448A4"/>
    <w:multiLevelType w:val="multilevel"/>
    <w:tmpl w:val="2130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5A70E8"/>
    <w:multiLevelType w:val="multilevel"/>
    <w:tmpl w:val="9754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BB594F"/>
    <w:multiLevelType w:val="multilevel"/>
    <w:tmpl w:val="E3FC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8178FC"/>
    <w:multiLevelType w:val="multilevel"/>
    <w:tmpl w:val="6F86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8215F5"/>
    <w:multiLevelType w:val="multilevel"/>
    <w:tmpl w:val="FF4A7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793295"/>
    <w:multiLevelType w:val="multilevel"/>
    <w:tmpl w:val="64D4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FD4221"/>
    <w:multiLevelType w:val="multilevel"/>
    <w:tmpl w:val="71A0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0009C2"/>
    <w:multiLevelType w:val="multilevel"/>
    <w:tmpl w:val="004E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
  </w:num>
  <w:num w:numId="4">
    <w:abstractNumId w:val="20"/>
  </w:num>
  <w:num w:numId="5">
    <w:abstractNumId w:val="33"/>
  </w:num>
  <w:num w:numId="6">
    <w:abstractNumId w:val="29"/>
  </w:num>
  <w:num w:numId="7">
    <w:abstractNumId w:val="31"/>
  </w:num>
  <w:num w:numId="8">
    <w:abstractNumId w:val="28"/>
  </w:num>
  <w:num w:numId="9">
    <w:abstractNumId w:val="15"/>
  </w:num>
  <w:num w:numId="10">
    <w:abstractNumId w:val="13"/>
  </w:num>
  <w:num w:numId="11">
    <w:abstractNumId w:val="14"/>
  </w:num>
  <w:num w:numId="12">
    <w:abstractNumId w:val="25"/>
  </w:num>
  <w:num w:numId="13">
    <w:abstractNumId w:val="3"/>
  </w:num>
  <w:num w:numId="14">
    <w:abstractNumId w:val="17"/>
  </w:num>
  <w:num w:numId="15">
    <w:abstractNumId w:val="26"/>
  </w:num>
  <w:num w:numId="16">
    <w:abstractNumId w:val="19"/>
  </w:num>
  <w:num w:numId="17">
    <w:abstractNumId w:val="6"/>
  </w:num>
  <w:num w:numId="18">
    <w:abstractNumId w:val="4"/>
  </w:num>
  <w:num w:numId="19">
    <w:abstractNumId w:val="12"/>
  </w:num>
  <w:num w:numId="20">
    <w:abstractNumId w:val="32"/>
  </w:num>
  <w:num w:numId="21">
    <w:abstractNumId w:val="22"/>
  </w:num>
  <w:num w:numId="22">
    <w:abstractNumId w:val="5"/>
  </w:num>
  <w:num w:numId="23">
    <w:abstractNumId w:val="34"/>
  </w:num>
  <w:num w:numId="24">
    <w:abstractNumId w:val="30"/>
  </w:num>
  <w:num w:numId="25">
    <w:abstractNumId w:val="2"/>
  </w:num>
  <w:num w:numId="26">
    <w:abstractNumId w:val="27"/>
  </w:num>
  <w:num w:numId="27">
    <w:abstractNumId w:val="11"/>
  </w:num>
  <w:num w:numId="28">
    <w:abstractNumId w:val="24"/>
  </w:num>
  <w:num w:numId="29">
    <w:abstractNumId w:val="0"/>
  </w:num>
  <w:num w:numId="30">
    <w:abstractNumId w:val="16"/>
  </w:num>
  <w:num w:numId="31">
    <w:abstractNumId w:val="18"/>
  </w:num>
  <w:num w:numId="32">
    <w:abstractNumId w:val="10"/>
  </w:num>
  <w:num w:numId="33">
    <w:abstractNumId w:val="21"/>
  </w:num>
  <w:num w:numId="34">
    <w:abstractNumId w:val="2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606"/>
    <w:rsid w:val="00035E70"/>
    <w:rsid w:val="00041066"/>
    <w:rsid w:val="005A2606"/>
    <w:rsid w:val="00AD0488"/>
    <w:rsid w:val="00D04164"/>
    <w:rsid w:val="00FB5C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A8789-C049-4EDF-BC55-6447046E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48078">
      <w:bodyDiv w:val="1"/>
      <w:marLeft w:val="0"/>
      <w:marRight w:val="0"/>
      <w:marTop w:val="0"/>
      <w:marBottom w:val="0"/>
      <w:divBdr>
        <w:top w:val="none" w:sz="0" w:space="0" w:color="auto"/>
        <w:left w:val="none" w:sz="0" w:space="0" w:color="auto"/>
        <w:bottom w:val="none" w:sz="0" w:space="0" w:color="auto"/>
        <w:right w:val="none" w:sz="0" w:space="0" w:color="auto"/>
      </w:divBdr>
      <w:divsChild>
        <w:div w:id="676734108">
          <w:marLeft w:val="0"/>
          <w:marRight w:val="0"/>
          <w:marTop w:val="0"/>
          <w:marBottom w:val="0"/>
          <w:divBdr>
            <w:top w:val="single" w:sz="6" w:space="15" w:color="E3E3E3"/>
            <w:left w:val="single" w:sz="2" w:space="0" w:color="AAAAAA"/>
            <w:bottom w:val="single" w:sz="2" w:space="15" w:color="AAAAAA"/>
            <w:right w:val="single" w:sz="2" w:space="0" w:color="AAAAAA"/>
          </w:divBdr>
          <w:divsChild>
            <w:div w:id="796991214">
              <w:marLeft w:val="0"/>
              <w:marRight w:val="0"/>
              <w:marTop w:val="0"/>
              <w:marBottom w:val="0"/>
              <w:divBdr>
                <w:top w:val="none" w:sz="0" w:space="0" w:color="auto"/>
                <w:left w:val="none" w:sz="0" w:space="0" w:color="auto"/>
                <w:bottom w:val="none" w:sz="0" w:space="0" w:color="auto"/>
                <w:right w:val="none" w:sz="0" w:space="0" w:color="auto"/>
              </w:divBdr>
            </w:div>
            <w:div w:id="1486046964">
              <w:marLeft w:val="0"/>
              <w:marRight w:val="0"/>
              <w:marTop w:val="0"/>
              <w:marBottom w:val="0"/>
              <w:divBdr>
                <w:top w:val="none" w:sz="0" w:space="0" w:color="auto"/>
                <w:left w:val="none" w:sz="0" w:space="0" w:color="auto"/>
                <w:bottom w:val="none" w:sz="0" w:space="0" w:color="auto"/>
                <w:right w:val="none" w:sz="0" w:space="0" w:color="auto"/>
              </w:divBdr>
              <w:divsChild>
                <w:div w:id="1270773548">
                  <w:marLeft w:val="0"/>
                  <w:marRight w:val="0"/>
                  <w:marTop w:val="0"/>
                  <w:marBottom w:val="0"/>
                  <w:divBdr>
                    <w:top w:val="none" w:sz="0" w:space="0" w:color="auto"/>
                    <w:left w:val="none" w:sz="0" w:space="0" w:color="auto"/>
                    <w:bottom w:val="none" w:sz="0" w:space="0" w:color="auto"/>
                    <w:right w:val="none" w:sz="0" w:space="0" w:color="auto"/>
                  </w:divBdr>
                  <w:divsChild>
                    <w:div w:id="1707094809">
                      <w:marLeft w:val="0"/>
                      <w:marRight w:val="0"/>
                      <w:marTop w:val="75"/>
                      <w:marBottom w:val="0"/>
                      <w:divBdr>
                        <w:top w:val="none" w:sz="0" w:space="0" w:color="auto"/>
                        <w:left w:val="none" w:sz="0" w:space="0" w:color="auto"/>
                        <w:bottom w:val="none" w:sz="0" w:space="0" w:color="auto"/>
                        <w:right w:val="none" w:sz="0" w:space="0" w:color="auto"/>
                      </w:divBdr>
                    </w:div>
                  </w:divsChild>
                </w:div>
                <w:div w:id="1301032061">
                  <w:marLeft w:val="0"/>
                  <w:marRight w:val="0"/>
                  <w:marTop w:val="0"/>
                  <w:marBottom w:val="0"/>
                  <w:divBdr>
                    <w:top w:val="none" w:sz="0" w:space="0" w:color="auto"/>
                    <w:left w:val="none" w:sz="0" w:space="0" w:color="auto"/>
                    <w:bottom w:val="none" w:sz="0" w:space="0" w:color="auto"/>
                    <w:right w:val="none" w:sz="0" w:space="0" w:color="auto"/>
                  </w:divBdr>
                  <w:divsChild>
                    <w:div w:id="286858914">
                      <w:marLeft w:val="0"/>
                      <w:marRight w:val="0"/>
                      <w:marTop w:val="75"/>
                      <w:marBottom w:val="0"/>
                      <w:divBdr>
                        <w:top w:val="none" w:sz="0" w:space="0" w:color="auto"/>
                        <w:left w:val="none" w:sz="0" w:space="0" w:color="auto"/>
                        <w:bottom w:val="none" w:sz="0" w:space="0" w:color="auto"/>
                        <w:right w:val="none" w:sz="0" w:space="0" w:color="auto"/>
                      </w:divBdr>
                    </w:div>
                  </w:divsChild>
                </w:div>
                <w:div w:id="1103452597">
                  <w:marLeft w:val="0"/>
                  <w:marRight w:val="0"/>
                  <w:marTop w:val="0"/>
                  <w:marBottom w:val="0"/>
                  <w:divBdr>
                    <w:top w:val="none" w:sz="0" w:space="0" w:color="auto"/>
                    <w:left w:val="none" w:sz="0" w:space="0" w:color="auto"/>
                    <w:bottom w:val="none" w:sz="0" w:space="0" w:color="auto"/>
                    <w:right w:val="none" w:sz="0" w:space="0" w:color="auto"/>
                  </w:divBdr>
                  <w:divsChild>
                    <w:div w:id="809979237">
                      <w:marLeft w:val="0"/>
                      <w:marRight w:val="0"/>
                      <w:marTop w:val="75"/>
                      <w:marBottom w:val="0"/>
                      <w:divBdr>
                        <w:top w:val="none" w:sz="0" w:space="0" w:color="auto"/>
                        <w:left w:val="none" w:sz="0" w:space="0" w:color="auto"/>
                        <w:bottom w:val="none" w:sz="0" w:space="0" w:color="auto"/>
                        <w:right w:val="none" w:sz="0" w:space="0" w:color="auto"/>
                      </w:divBdr>
                    </w:div>
                  </w:divsChild>
                </w:div>
                <w:div w:id="561714856">
                  <w:marLeft w:val="0"/>
                  <w:marRight w:val="0"/>
                  <w:marTop w:val="0"/>
                  <w:marBottom w:val="0"/>
                  <w:divBdr>
                    <w:top w:val="none" w:sz="0" w:space="0" w:color="auto"/>
                    <w:left w:val="none" w:sz="0" w:space="0" w:color="auto"/>
                    <w:bottom w:val="none" w:sz="0" w:space="0" w:color="auto"/>
                    <w:right w:val="none" w:sz="0" w:space="0" w:color="auto"/>
                  </w:divBdr>
                  <w:divsChild>
                    <w:div w:id="1928342759">
                      <w:marLeft w:val="0"/>
                      <w:marRight w:val="0"/>
                      <w:marTop w:val="75"/>
                      <w:marBottom w:val="0"/>
                      <w:divBdr>
                        <w:top w:val="none" w:sz="0" w:space="0" w:color="auto"/>
                        <w:left w:val="none" w:sz="0" w:space="0" w:color="auto"/>
                        <w:bottom w:val="none" w:sz="0" w:space="0" w:color="auto"/>
                        <w:right w:val="none" w:sz="0" w:space="0" w:color="auto"/>
                      </w:divBdr>
                    </w:div>
                  </w:divsChild>
                </w:div>
                <w:div w:id="767778394">
                  <w:marLeft w:val="0"/>
                  <w:marRight w:val="0"/>
                  <w:marTop w:val="0"/>
                  <w:marBottom w:val="0"/>
                  <w:divBdr>
                    <w:top w:val="none" w:sz="0" w:space="0" w:color="auto"/>
                    <w:left w:val="none" w:sz="0" w:space="0" w:color="auto"/>
                    <w:bottom w:val="none" w:sz="0" w:space="0" w:color="auto"/>
                    <w:right w:val="none" w:sz="0" w:space="0" w:color="auto"/>
                  </w:divBdr>
                  <w:divsChild>
                    <w:div w:id="2085715644">
                      <w:marLeft w:val="0"/>
                      <w:marRight w:val="0"/>
                      <w:marTop w:val="75"/>
                      <w:marBottom w:val="0"/>
                      <w:divBdr>
                        <w:top w:val="none" w:sz="0" w:space="0" w:color="auto"/>
                        <w:left w:val="none" w:sz="0" w:space="0" w:color="auto"/>
                        <w:bottom w:val="none" w:sz="0" w:space="0" w:color="auto"/>
                        <w:right w:val="none" w:sz="0" w:space="0" w:color="auto"/>
                      </w:divBdr>
                    </w:div>
                  </w:divsChild>
                </w:div>
                <w:div w:id="1463186108">
                  <w:marLeft w:val="0"/>
                  <w:marRight w:val="0"/>
                  <w:marTop w:val="0"/>
                  <w:marBottom w:val="0"/>
                  <w:divBdr>
                    <w:top w:val="none" w:sz="0" w:space="0" w:color="auto"/>
                    <w:left w:val="none" w:sz="0" w:space="0" w:color="auto"/>
                    <w:bottom w:val="none" w:sz="0" w:space="0" w:color="auto"/>
                    <w:right w:val="none" w:sz="0" w:space="0" w:color="auto"/>
                  </w:divBdr>
                  <w:divsChild>
                    <w:div w:id="1086540424">
                      <w:marLeft w:val="0"/>
                      <w:marRight w:val="0"/>
                      <w:marTop w:val="75"/>
                      <w:marBottom w:val="0"/>
                      <w:divBdr>
                        <w:top w:val="none" w:sz="0" w:space="0" w:color="auto"/>
                        <w:left w:val="none" w:sz="0" w:space="0" w:color="auto"/>
                        <w:bottom w:val="none" w:sz="0" w:space="0" w:color="auto"/>
                        <w:right w:val="none" w:sz="0" w:space="0" w:color="auto"/>
                      </w:divBdr>
                    </w:div>
                  </w:divsChild>
                </w:div>
                <w:div w:id="1711682901">
                  <w:marLeft w:val="0"/>
                  <w:marRight w:val="0"/>
                  <w:marTop w:val="0"/>
                  <w:marBottom w:val="0"/>
                  <w:divBdr>
                    <w:top w:val="none" w:sz="0" w:space="0" w:color="auto"/>
                    <w:left w:val="none" w:sz="0" w:space="0" w:color="auto"/>
                    <w:bottom w:val="none" w:sz="0" w:space="0" w:color="auto"/>
                    <w:right w:val="none" w:sz="0" w:space="0" w:color="auto"/>
                  </w:divBdr>
                  <w:divsChild>
                    <w:div w:id="1922332379">
                      <w:marLeft w:val="0"/>
                      <w:marRight w:val="0"/>
                      <w:marTop w:val="75"/>
                      <w:marBottom w:val="0"/>
                      <w:divBdr>
                        <w:top w:val="none" w:sz="0" w:space="0" w:color="auto"/>
                        <w:left w:val="none" w:sz="0" w:space="0" w:color="auto"/>
                        <w:bottom w:val="none" w:sz="0" w:space="0" w:color="auto"/>
                        <w:right w:val="none" w:sz="0" w:space="0" w:color="auto"/>
                      </w:divBdr>
                    </w:div>
                  </w:divsChild>
                </w:div>
                <w:div w:id="18970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20437">
      <w:bodyDiv w:val="1"/>
      <w:marLeft w:val="0"/>
      <w:marRight w:val="0"/>
      <w:marTop w:val="0"/>
      <w:marBottom w:val="0"/>
      <w:divBdr>
        <w:top w:val="none" w:sz="0" w:space="0" w:color="auto"/>
        <w:left w:val="none" w:sz="0" w:space="0" w:color="auto"/>
        <w:bottom w:val="none" w:sz="0" w:space="0" w:color="auto"/>
        <w:right w:val="none" w:sz="0" w:space="0" w:color="auto"/>
      </w:divBdr>
      <w:divsChild>
        <w:div w:id="11885345">
          <w:marLeft w:val="0"/>
          <w:marRight w:val="0"/>
          <w:marTop w:val="0"/>
          <w:marBottom w:val="0"/>
          <w:divBdr>
            <w:top w:val="single" w:sz="6" w:space="15" w:color="E3E3E3"/>
            <w:left w:val="single" w:sz="2" w:space="0" w:color="AAAAAA"/>
            <w:bottom w:val="single" w:sz="2" w:space="15" w:color="AAAAAA"/>
            <w:right w:val="single" w:sz="2" w:space="0" w:color="AAAAAA"/>
          </w:divBdr>
          <w:divsChild>
            <w:div w:id="1252852096">
              <w:marLeft w:val="0"/>
              <w:marRight w:val="0"/>
              <w:marTop w:val="0"/>
              <w:marBottom w:val="0"/>
              <w:divBdr>
                <w:top w:val="none" w:sz="0" w:space="0" w:color="auto"/>
                <w:left w:val="none" w:sz="0" w:space="0" w:color="auto"/>
                <w:bottom w:val="none" w:sz="0" w:space="0" w:color="auto"/>
                <w:right w:val="none" w:sz="0" w:space="0" w:color="auto"/>
              </w:divBdr>
            </w:div>
            <w:div w:id="1085688897">
              <w:marLeft w:val="0"/>
              <w:marRight w:val="0"/>
              <w:marTop w:val="0"/>
              <w:marBottom w:val="0"/>
              <w:divBdr>
                <w:top w:val="none" w:sz="0" w:space="0" w:color="auto"/>
                <w:left w:val="none" w:sz="0" w:space="0" w:color="auto"/>
                <w:bottom w:val="none" w:sz="0" w:space="0" w:color="auto"/>
                <w:right w:val="none" w:sz="0" w:space="0" w:color="auto"/>
              </w:divBdr>
              <w:divsChild>
                <w:div w:id="720248882">
                  <w:marLeft w:val="0"/>
                  <w:marRight w:val="0"/>
                  <w:marTop w:val="0"/>
                  <w:marBottom w:val="0"/>
                  <w:divBdr>
                    <w:top w:val="none" w:sz="0" w:space="0" w:color="auto"/>
                    <w:left w:val="none" w:sz="0" w:space="0" w:color="auto"/>
                    <w:bottom w:val="none" w:sz="0" w:space="0" w:color="auto"/>
                    <w:right w:val="none" w:sz="0" w:space="0" w:color="auto"/>
                  </w:divBdr>
                  <w:divsChild>
                    <w:div w:id="409667319">
                      <w:marLeft w:val="0"/>
                      <w:marRight w:val="0"/>
                      <w:marTop w:val="75"/>
                      <w:marBottom w:val="0"/>
                      <w:divBdr>
                        <w:top w:val="none" w:sz="0" w:space="0" w:color="auto"/>
                        <w:left w:val="none" w:sz="0" w:space="0" w:color="auto"/>
                        <w:bottom w:val="none" w:sz="0" w:space="0" w:color="auto"/>
                        <w:right w:val="none" w:sz="0" w:space="0" w:color="auto"/>
                      </w:divBdr>
                    </w:div>
                  </w:divsChild>
                </w:div>
                <w:div w:id="728109599">
                  <w:marLeft w:val="0"/>
                  <w:marRight w:val="0"/>
                  <w:marTop w:val="0"/>
                  <w:marBottom w:val="0"/>
                  <w:divBdr>
                    <w:top w:val="none" w:sz="0" w:space="0" w:color="auto"/>
                    <w:left w:val="none" w:sz="0" w:space="0" w:color="auto"/>
                    <w:bottom w:val="none" w:sz="0" w:space="0" w:color="auto"/>
                    <w:right w:val="none" w:sz="0" w:space="0" w:color="auto"/>
                  </w:divBdr>
                  <w:divsChild>
                    <w:div w:id="2106726062">
                      <w:marLeft w:val="0"/>
                      <w:marRight w:val="0"/>
                      <w:marTop w:val="75"/>
                      <w:marBottom w:val="0"/>
                      <w:divBdr>
                        <w:top w:val="none" w:sz="0" w:space="0" w:color="auto"/>
                        <w:left w:val="none" w:sz="0" w:space="0" w:color="auto"/>
                        <w:bottom w:val="none" w:sz="0" w:space="0" w:color="auto"/>
                        <w:right w:val="none" w:sz="0" w:space="0" w:color="auto"/>
                      </w:divBdr>
                    </w:div>
                  </w:divsChild>
                </w:div>
                <w:div w:id="1004672383">
                  <w:marLeft w:val="0"/>
                  <w:marRight w:val="0"/>
                  <w:marTop w:val="0"/>
                  <w:marBottom w:val="0"/>
                  <w:divBdr>
                    <w:top w:val="none" w:sz="0" w:space="0" w:color="auto"/>
                    <w:left w:val="none" w:sz="0" w:space="0" w:color="auto"/>
                    <w:bottom w:val="none" w:sz="0" w:space="0" w:color="auto"/>
                    <w:right w:val="none" w:sz="0" w:space="0" w:color="auto"/>
                  </w:divBdr>
                  <w:divsChild>
                    <w:div w:id="1331832142">
                      <w:marLeft w:val="0"/>
                      <w:marRight w:val="0"/>
                      <w:marTop w:val="75"/>
                      <w:marBottom w:val="0"/>
                      <w:divBdr>
                        <w:top w:val="none" w:sz="0" w:space="0" w:color="auto"/>
                        <w:left w:val="none" w:sz="0" w:space="0" w:color="auto"/>
                        <w:bottom w:val="none" w:sz="0" w:space="0" w:color="auto"/>
                        <w:right w:val="none" w:sz="0" w:space="0" w:color="auto"/>
                      </w:divBdr>
                    </w:div>
                  </w:divsChild>
                </w:div>
                <w:div w:id="847141179">
                  <w:marLeft w:val="0"/>
                  <w:marRight w:val="0"/>
                  <w:marTop w:val="0"/>
                  <w:marBottom w:val="0"/>
                  <w:divBdr>
                    <w:top w:val="none" w:sz="0" w:space="0" w:color="auto"/>
                    <w:left w:val="none" w:sz="0" w:space="0" w:color="auto"/>
                    <w:bottom w:val="none" w:sz="0" w:space="0" w:color="auto"/>
                    <w:right w:val="none" w:sz="0" w:space="0" w:color="auto"/>
                  </w:divBdr>
                  <w:divsChild>
                    <w:div w:id="808323731">
                      <w:marLeft w:val="0"/>
                      <w:marRight w:val="0"/>
                      <w:marTop w:val="75"/>
                      <w:marBottom w:val="0"/>
                      <w:divBdr>
                        <w:top w:val="none" w:sz="0" w:space="0" w:color="auto"/>
                        <w:left w:val="none" w:sz="0" w:space="0" w:color="auto"/>
                        <w:bottom w:val="none" w:sz="0" w:space="0" w:color="auto"/>
                        <w:right w:val="none" w:sz="0" w:space="0" w:color="auto"/>
                      </w:divBdr>
                    </w:div>
                  </w:divsChild>
                </w:div>
                <w:div w:id="1163545886">
                  <w:marLeft w:val="0"/>
                  <w:marRight w:val="0"/>
                  <w:marTop w:val="0"/>
                  <w:marBottom w:val="0"/>
                  <w:divBdr>
                    <w:top w:val="none" w:sz="0" w:space="0" w:color="auto"/>
                    <w:left w:val="none" w:sz="0" w:space="0" w:color="auto"/>
                    <w:bottom w:val="none" w:sz="0" w:space="0" w:color="auto"/>
                    <w:right w:val="none" w:sz="0" w:space="0" w:color="auto"/>
                  </w:divBdr>
                  <w:divsChild>
                    <w:div w:id="1020083029">
                      <w:marLeft w:val="0"/>
                      <w:marRight w:val="0"/>
                      <w:marTop w:val="75"/>
                      <w:marBottom w:val="0"/>
                      <w:divBdr>
                        <w:top w:val="none" w:sz="0" w:space="0" w:color="auto"/>
                        <w:left w:val="none" w:sz="0" w:space="0" w:color="auto"/>
                        <w:bottom w:val="none" w:sz="0" w:space="0" w:color="auto"/>
                        <w:right w:val="none" w:sz="0" w:space="0" w:color="auto"/>
                      </w:divBdr>
                    </w:div>
                  </w:divsChild>
                </w:div>
                <w:div w:id="1725366550">
                  <w:marLeft w:val="0"/>
                  <w:marRight w:val="0"/>
                  <w:marTop w:val="0"/>
                  <w:marBottom w:val="0"/>
                  <w:divBdr>
                    <w:top w:val="none" w:sz="0" w:space="0" w:color="auto"/>
                    <w:left w:val="none" w:sz="0" w:space="0" w:color="auto"/>
                    <w:bottom w:val="none" w:sz="0" w:space="0" w:color="auto"/>
                    <w:right w:val="none" w:sz="0" w:space="0" w:color="auto"/>
                  </w:divBdr>
                  <w:divsChild>
                    <w:div w:id="1694838860">
                      <w:marLeft w:val="0"/>
                      <w:marRight w:val="0"/>
                      <w:marTop w:val="75"/>
                      <w:marBottom w:val="0"/>
                      <w:divBdr>
                        <w:top w:val="none" w:sz="0" w:space="0" w:color="auto"/>
                        <w:left w:val="none" w:sz="0" w:space="0" w:color="auto"/>
                        <w:bottom w:val="none" w:sz="0" w:space="0" w:color="auto"/>
                        <w:right w:val="none" w:sz="0" w:space="0" w:color="auto"/>
                      </w:divBdr>
                    </w:div>
                  </w:divsChild>
                </w:div>
                <w:div w:id="379087471">
                  <w:marLeft w:val="0"/>
                  <w:marRight w:val="0"/>
                  <w:marTop w:val="0"/>
                  <w:marBottom w:val="0"/>
                  <w:divBdr>
                    <w:top w:val="none" w:sz="0" w:space="0" w:color="auto"/>
                    <w:left w:val="none" w:sz="0" w:space="0" w:color="auto"/>
                    <w:bottom w:val="none" w:sz="0" w:space="0" w:color="auto"/>
                    <w:right w:val="none" w:sz="0" w:space="0" w:color="auto"/>
                  </w:divBdr>
                  <w:divsChild>
                    <w:div w:id="1872455771">
                      <w:marLeft w:val="0"/>
                      <w:marRight w:val="0"/>
                      <w:marTop w:val="75"/>
                      <w:marBottom w:val="0"/>
                      <w:divBdr>
                        <w:top w:val="none" w:sz="0" w:space="0" w:color="auto"/>
                        <w:left w:val="none" w:sz="0" w:space="0" w:color="auto"/>
                        <w:bottom w:val="none" w:sz="0" w:space="0" w:color="auto"/>
                        <w:right w:val="none" w:sz="0" w:space="0" w:color="auto"/>
                      </w:divBdr>
                    </w:div>
                  </w:divsChild>
                </w:div>
                <w:div w:id="1465736508">
                  <w:marLeft w:val="0"/>
                  <w:marRight w:val="0"/>
                  <w:marTop w:val="0"/>
                  <w:marBottom w:val="0"/>
                  <w:divBdr>
                    <w:top w:val="none" w:sz="0" w:space="0" w:color="auto"/>
                    <w:left w:val="none" w:sz="0" w:space="0" w:color="auto"/>
                    <w:bottom w:val="none" w:sz="0" w:space="0" w:color="auto"/>
                    <w:right w:val="none" w:sz="0" w:space="0" w:color="auto"/>
                  </w:divBdr>
                  <w:divsChild>
                    <w:div w:id="1236355793">
                      <w:marLeft w:val="0"/>
                      <w:marRight w:val="0"/>
                      <w:marTop w:val="75"/>
                      <w:marBottom w:val="0"/>
                      <w:divBdr>
                        <w:top w:val="none" w:sz="0" w:space="0" w:color="auto"/>
                        <w:left w:val="none" w:sz="0" w:space="0" w:color="auto"/>
                        <w:bottom w:val="none" w:sz="0" w:space="0" w:color="auto"/>
                        <w:right w:val="none" w:sz="0" w:space="0" w:color="auto"/>
                      </w:divBdr>
                    </w:div>
                  </w:divsChild>
                </w:div>
                <w:div w:id="14701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258451">
      <w:bodyDiv w:val="1"/>
      <w:marLeft w:val="0"/>
      <w:marRight w:val="0"/>
      <w:marTop w:val="0"/>
      <w:marBottom w:val="0"/>
      <w:divBdr>
        <w:top w:val="none" w:sz="0" w:space="0" w:color="auto"/>
        <w:left w:val="none" w:sz="0" w:space="0" w:color="auto"/>
        <w:bottom w:val="none" w:sz="0" w:space="0" w:color="auto"/>
        <w:right w:val="none" w:sz="0" w:space="0" w:color="auto"/>
      </w:divBdr>
      <w:divsChild>
        <w:div w:id="1956476692">
          <w:marLeft w:val="0"/>
          <w:marRight w:val="0"/>
          <w:marTop w:val="0"/>
          <w:marBottom w:val="0"/>
          <w:divBdr>
            <w:top w:val="single" w:sz="6" w:space="15" w:color="E3E3E3"/>
            <w:left w:val="single" w:sz="2" w:space="0" w:color="AAAAAA"/>
            <w:bottom w:val="single" w:sz="2" w:space="15" w:color="AAAAAA"/>
            <w:right w:val="single" w:sz="2" w:space="0" w:color="AAAAAA"/>
          </w:divBdr>
          <w:divsChild>
            <w:div w:id="278997115">
              <w:marLeft w:val="0"/>
              <w:marRight w:val="0"/>
              <w:marTop w:val="0"/>
              <w:marBottom w:val="0"/>
              <w:divBdr>
                <w:top w:val="none" w:sz="0" w:space="0" w:color="auto"/>
                <w:left w:val="none" w:sz="0" w:space="0" w:color="auto"/>
                <w:bottom w:val="none" w:sz="0" w:space="0" w:color="auto"/>
                <w:right w:val="none" w:sz="0" w:space="0" w:color="auto"/>
              </w:divBdr>
            </w:div>
            <w:div w:id="1074476806">
              <w:marLeft w:val="0"/>
              <w:marRight w:val="0"/>
              <w:marTop w:val="0"/>
              <w:marBottom w:val="0"/>
              <w:divBdr>
                <w:top w:val="none" w:sz="0" w:space="0" w:color="auto"/>
                <w:left w:val="none" w:sz="0" w:space="0" w:color="auto"/>
                <w:bottom w:val="none" w:sz="0" w:space="0" w:color="auto"/>
                <w:right w:val="none" w:sz="0" w:space="0" w:color="auto"/>
              </w:divBdr>
              <w:divsChild>
                <w:div w:id="1290432753">
                  <w:marLeft w:val="0"/>
                  <w:marRight w:val="0"/>
                  <w:marTop w:val="0"/>
                  <w:marBottom w:val="0"/>
                  <w:divBdr>
                    <w:top w:val="none" w:sz="0" w:space="0" w:color="auto"/>
                    <w:left w:val="none" w:sz="0" w:space="0" w:color="auto"/>
                    <w:bottom w:val="none" w:sz="0" w:space="0" w:color="auto"/>
                    <w:right w:val="none" w:sz="0" w:space="0" w:color="auto"/>
                  </w:divBdr>
                  <w:divsChild>
                    <w:div w:id="1982540878">
                      <w:marLeft w:val="0"/>
                      <w:marRight w:val="0"/>
                      <w:marTop w:val="75"/>
                      <w:marBottom w:val="0"/>
                      <w:divBdr>
                        <w:top w:val="none" w:sz="0" w:space="0" w:color="auto"/>
                        <w:left w:val="none" w:sz="0" w:space="0" w:color="auto"/>
                        <w:bottom w:val="none" w:sz="0" w:space="0" w:color="auto"/>
                        <w:right w:val="none" w:sz="0" w:space="0" w:color="auto"/>
                      </w:divBdr>
                    </w:div>
                  </w:divsChild>
                </w:div>
                <w:div w:id="1327711415">
                  <w:marLeft w:val="0"/>
                  <w:marRight w:val="0"/>
                  <w:marTop w:val="0"/>
                  <w:marBottom w:val="0"/>
                  <w:divBdr>
                    <w:top w:val="none" w:sz="0" w:space="0" w:color="auto"/>
                    <w:left w:val="none" w:sz="0" w:space="0" w:color="auto"/>
                    <w:bottom w:val="none" w:sz="0" w:space="0" w:color="auto"/>
                    <w:right w:val="none" w:sz="0" w:space="0" w:color="auto"/>
                  </w:divBdr>
                  <w:divsChild>
                    <w:div w:id="2070298180">
                      <w:marLeft w:val="0"/>
                      <w:marRight w:val="0"/>
                      <w:marTop w:val="75"/>
                      <w:marBottom w:val="0"/>
                      <w:divBdr>
                        <w:top w:val="none" w:sz="0" w:space="0" w:color="auto"/>
                        <w:left w:val="none" w:sz="0" w:space="0" w:color="auto"/>
                        <w:bottom w:val="none" w:sz="0" w:space="0" w:color="auto"/>
                        <w:right w:val="none" w:sz="0" w:space="0" w:color="auto"/>
                      </w:divBdr>
                    </w:div>
                  </w:divsChild>
                </w:div>
                <w:div w:id="1978610177">
                  <w:marLeft w:val="0"/>
                  <w:marRight w:val="0"/>
                  <w:marTop w:val="0"/>
                  <w:marBottom w:val="0"/>
                  <w:divBdr>
                    <w:top w:val="none" w:sz="0" w:space="0" w:color="auto"/>
                    <w:left w:val="none" w:sz="0" w:space="0" w:color="auto"/>
                    <w:bottom w:val="none" w:sz="0" w:space="0" w:color="auto"/>
                    <w:right w:val="none" w:sz="0" w:space="0" w:color="auto"/>
                  </w:divBdr>
                  <w:divsChild>
                    <w:div w:id="1863088757">
                      <w:marLeft w:val="0"/>
                      <w:marRight w:val="0"/>
                      <w:marTop w:val="75"/>
                      <w:marBottom w:val="0"/>
                      <w:divBdr>
                        <w:top w:val="none" w:sz="0" w:space="0" w:color="auto"/>
                        <w:left w:val="none" w:sz="0" w:space="0" w:color="auto"/>
                        <w:bottom w:val="none" w:sz="0" w:space="0" w:color="auto"/>
                        <w:right w:val="none" w:sz="0" w:space="0" w:color="auto"/>
                      </w:divBdr>
                    </w:div>
                  </w:divsChild>
                </w:div>
                <w:div w:id="1279096325">
                  <w:marLeft w:val="0"/>
                  <w:marRight w:val="0"/>
                  <w:marTop w:val="0"/>
                  <w:marBottom w:val="0"/>
                  <w:divBdr>
                    <w:top w:val="none" w:sz="0" w:space="0" w:color="auto"/>
                    <w:left w:val="none" w:sz="0" w:space="0" w:color="auto"/>
                    <w:bottom w:val="none" w:sz="0" w:space="0" w:color="auto"/>
                    <w:right w:val="none" w:sz="0" w:space="0" w:color="auto"/>
                  </w:divBdr>
                  <w:divsChild>
                    <w:div w:id="1532691118">
                      <w:marLeft w:val="0"/>
                      <w:marRight w:val="0"/>
                      <w:marTop w:val="75"/>
                      <w:marBottom w:val="0"/>
                      <w:divBdr>
                        <w:top w:val="none" w:sz="0" w:space="0" w:color="auto"/>
                        <w:left w:val="none" w:sz="0" w:space="0" w:color="auto"/>
                        <w:bottom w:val="none" w:sz="0" w:space="0" w:color="auto"/>
                        <w:right w:val="none" w:sz="0" w:space="0" w:color="auto"/>
                      </w:divBdr>
                    </w:div>
                  </w:divsChild>
                </w:div>
                <w:div w:id="787042040">
                  <w:marLeft w:val="0"/>
                  <w:marRight w:val="0"/>
                  <w:marTop w:val="0"/>
                  <w:marBottom w:val="0"/>
                  <w:divBdr>
                    <w:top w:val="none" w:sz="0" w:space="0" w:color="auto"/>
                    <w:left w:val="none" w:sz="0" w:space="0" w:color="auto"/>
                    <w:bottom w:val="none" w:sz="0" w:space="0" w:color="auto"/>
                    <w:right w:val="none" w:sz="0" w:space="0" w:color="auto"/>
                  </w:divBdr>
                  <w:divsChild>
                    <w:div w:id="920024937">
                      <w:marLeft w:val="0"/>
                      <w:marRight w:val="0"/>
                      <w:marTop w:val="75"/>
                      <w:marBottom w:val="0"/>
                      <w:divBdr>
                        <w:top w:val="none" w:sz="0" w:space="0" w:color="auto"/>
                        <w:left w:val="none" w:sz="0" w:space="0" w:color="auto"/>
                        <w:bottom w:val="none" w:sz="0" w:space="0" w:color="auto"/>
                        <w:right w:val="none" w:sz="0" w:space="0" w:color="auto"/>
                      </w:divBdr>
                    </w:div>
                  </w:divsChild>
                </w:div>
                <w:div w:id="1556743478">
                  <w:marLeft w:val="0"/>
                  <w:marRight w:val="0"/>
                  <w:marTop w:val="0"/>
                  <w:marBottom w:val="0"/>
                  <w:divBdr>
                    <w:top w:val="none" w:sz="0" w:space="0" w:color="auto"/>
                    <w:left w:val="none" w:sz="0" w:space="0" w:color="auto"/>
                    <w:bottom w:val="none" w:sz="0" w:space="0" w:color="auto"/>
                    <w:right w:val="none" w:sz="0" w:space="0" w:color="auto"/>
                  </w:divBdr>
                  <w:divsChild>
                    <w:div w:id="1292788962">
                      <w:marLeft w:val="0"/>
                      <w:marRight w:val="0"/>
                      <w:marTop w:val="75"/>
                      <w:marBottom w:val="0"/>
                      <w:divBdr>
                        <w:top w:val="none" w:sz="0" w:space="0" w:color="auto"/>
                        <w:left w:val="none" w:sz="0" w:space="0" w:color="auto"/>
                        <w:bottom w:val="none" w:sz="0" w:space="0" w:color="auto"/>
                        <w:right w:val="none" w:sz="0" w:space="0" w:color="auto"/>
                      </w:divBdr>
                    </w:div>
                  </w:divsChild>
                </w:div>
                <w:div w:id="2136756656">
                  <w:marLeft w:val="0"/>
                  <w:marRight w:val="0"/>
                  <w:marTop w:val="0"/>
                  <w:marBottom w:val="0"/>
                  <w:divBdr>
                    <w:top w:val="none" w:sz="0" w:space="0" w:color="auto"/>
                    <w:left w:val="none" w:sz="0" w:space="0" w:color="auto"/>
                    <w:bottom w:val="none" w:sz="0" w:space="0" w:color="auto"/>
                    <w:right w:val="none" w:sz="0" w:space="0" w:color="auto"/>
                  </w:divBdr>
                  <w:divsChild>
                    <w:div w:id="396897897">
                      <w:marLeft w:val="0"/>
                      <w:marRight w:val="0"/>
                      <w:marTop w:val="75"/>
                      <w:marBottom w:val="0"/>
                      <w:divBdr>
                        <w:top w:val="none" w:sz="0" w:space="0" w:color="auto"/>
                        <w:left w:val="none" w:sz="0" w:space="0" w:color="auto"/>
                        <w:bottom w:val="none" w:sz="0" w:space="0" w:color="auto"/>
                        <w:right w:val="none" w:sz="0" w:space="0" w:color="auto"/>
                      </w:divBdr>
                    </w:div>
                  </w:divsChild>
                </w:div>
                <w:div w:id="186478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26990">
      <w:bodyDiv w:val="1"/>
      <w:marLeft w:val="0"/>
      <w:marRight w:val="0"/>
      <w:marTop w:val="0"/>
      <w:marBottom w:val="0"/>
      <w:divBdr>
        <w:top w:val="none" w:sz="0" w:space="0" w:color="auto"/>
        <w:left w:val="none" w:sz="0" w:space="0" w:color="auto"/>
        <w:bottom w:val="none" w:sz="0" w:space="0" w:color="auto"/>
        <w:right w:val="none" w:sz="0" w:space="0" w:color="auto"/>
      </w:divBdr>
      <w:divsChild>
        <w:div w:id="1289776359">
          <w:marLeft w:val="0"/>
          <w:marRight w:val="0"/>
          <w:marTop w:val="0"/>
          <w:marBottom w:val="0"/>
          <w:divBdr>
            <w:top w:val="single" w:sz="6" w:space="15" w:color="E3E3E3"/>
            <w:left w:val="single" w:sz="2" w:space="0" w:color="AAAAAA"/>
            <w:bottom w:val="single" w:sz="2" w:space="15" w:color="AAAAAA"/>
            <w:right w:val="single" w:sz="2" w:space="0" w:color="AAAAAA"/>
          </w:divBdr>
          <w:divsChild>
            <w:div w:id="1511798884">
              <w:marLeft w:val="0"/>
              <w:marRight w:val="0"/>
              <w:marTop w:val="0"/>
              <w:marBottom w:val="0"/>
              <w:divBdr>
                <w:top w:val="none" w:sz="0" w:space="0" w:color="auto"/>
                <w:left w:val="none" w:sz="0" w:space="0" w:color="auto"/>
                <w:bottom w:val="none" w:sz="0" w:space="0" w:color="auto"/>
                <w:right w:val="none" w:sz="0" w:space="0" w:color="auto"/>
              </w:divBdr>
            </w:div>
            <w:div w:id="547374924">
              <w:marLeft w:val="0"/>
              <w:marRight w:val="0"/>
              <w:marTop w:val="0"/>
              <w:marBottom w:val="0"/>
              <w:divBdr>
                <w:top w:val="none" w:sz="0" w:space="0" w:color="auto"/>
                <w:left w:val="none" w:sz="0" w:space="0" w:color="auto"/>
                <w:bottom w:val="none" w:sz="0" w:space="0" w:color="auto"/>
                <w:right w:val="none" w:sz="0" w:space="0" w:color="auto"/>
              </w:divBdr>
              <w:divsChild>
                <w:div w:id="502823018">
                  <w:marLeft w:val="0"/>
                  <w:marRight w:val="0"/>
                  <w:marTop w:val="0"/>
                  <w:marBottom w:val="0"/>
                  <w:divBdr>
                    <w:top w:val="none" w:sz="0" w:space="0" w:color="auto"/>
                    <w:left w:val="none" w:sz="0" w:space="0" w:color="auto"/>
                    <w:bottom w:val="none" w:sz="0" w:space="0" w:color="auto"/>
                    <w:right w:val="none" w:sz="0" w:space="0" w:color="auto"/>
                  </w:divBdr>
                  <w:divsChild>
                    <w:div w:id="972831205">
                      <w:marLeft w:val="0"/>
                      <w:marRight w:val="0"/>
                      <w:marTop w:val="75"/>
                      <w:marBottom w:val="0"/>
                      <w:divBdr>
                        <w:top w:val="none" w:sz="0" w:space="0" w:color="auto"/>
                        <w:left w:val="none" w:sz="0" w:space="0" w:color="auto"/>
                        <w:bottom w:val="none" w:sz="0" w:space="0" w:color="auto"/>
                        <w:right w:val="none" w:sz="0" w:space="0" w:color="auto"/>
                      </w:divBdr>
                    </w:div>
                  </w:divsChild>
                </w:div>
                <w:div w:id="1349327767">
                  <w:marLeft w:val="0"/>
                  <w:marRight w:val="0"/>
                  <w:marTop w:val="0"/>
                  <w:marBottom w:val="0"/>
                  <w:divBdr>
                    <w:top w:val="none" w:sz="0" w:space="0" w:color="auto"/>
                    <w:left w:val="none" w:sz="0" w:space="0" w:color="auto"/>
                    <w:bottom w:val="none" w:sz="0" w:space="0" w:color="auto"/>
                    <w:right w:val="none" w:sz="0" w:space="0" w:color="auto"/>
                  </w:divBdr>
                  <w:divsChild>
                    <w:div w:id="1686665533">
                      <w:marLeft w:val="0"/>
                      <w:marRight w:val="0"/>
                      <w:marTop w:val="75"/>
                      <w:marBottom w:val="0"/>
                      <w:divBdr>
                        <w:top w:val="none" w:sz="0" w:space="0" w:color="auto"/>
                        <w:left w:val="none" w:sz="0" w:space="0" w:color="auto"/>
                        <w:bottom w:val="none" w:sz="0" w:space="0" w:color="auto"/>
                        <w:right w:val="none" w:sz="0" w:space="0" w:color="auto"/>
                      </w:divBdr>
                    </w:div>
                  </w:divsChild>
                </w:div>
                <w:div w:id="1776827010">
                  <w:marLeft w:val="0"/>
                  <w:marRight w:val="0"/>
                  <w:marTop w:val="0"/>
                  <w:marBottom w:val="0"/>
                  <w:divBdr>
                    <w:top w:val="none" w:sz="0" w:space="0" w:color="auto"/>
                    <w:left w:val="none" w:sz="0" w:space="0" w:color="auto"/>
                    <w:bottom w:val="none" w:sz="0" w:space="0" w:color="auto"/>
                    <w:right w:val="none" w:sz="0" w:space="0" w:color="auto"/>
                  </w:divBdr>
                  <w:divsChild>
                    <w:div w:id="935136880">
                      <w:marLeft w:val="0"/>
                      <w:marRight w:val="0"/>
                      <w:marTop w:val="75"/>
                      <w:marBottom w:val="0"/>
                      <w:divBdr>
                        <w:top w:val="none" w:sz="0" w:space="0" w:color="auto"/>
                        <w:left w:val="none" w:sz="0" w:space="0" w:color="auto"/>
                        <w:bottom w:val="none" w:sz="0" w:space="0" w:color="auto"/>
                        <w:right w:val="none" w:sz="0" w:space="0" w:color="auto"/>
                      </w:divBdr>
                    </w:div>
                  </w:divsChild>
                </w:div>
                <w:div w:id="1674184553">
                  <w:marLeft w:val="0"/>
                  <w:marRight w:val="0"/>
                  <w:marTop w:val="0"/>
                  <w:marBottom w:val="0"/>
                  <w:divBdr>
                    <w:top w:val="none" w:sz="0" w:space="0" w:color="auto"/>
                    <w:left w:val="none" w:sz="0" w:space="0" w:color="auto"/>
                    <w:bottom w:val="none" w:sz="0" w:space="0" w:color="auto"/>
                    <w:right w:val="none" w:sz="0" w:space="0" w:color="auto"/>
                  </w:divBdr>
                  <w:divsChild>
                    <w:div w:id="493104347">
                      <w:marLeft w:val="0"/>
                      <w:marRight w:val="0"/>
                      <w:marTop w:val="75"/>
                      <w:marBottom w:val="0"/>
                      <w:divBdr>
                        <w:top w:val="none" w:sz="0" w:space="0" w:color="auto"/>
                        <w:left w:val="none" w:sz="0" w:space="0" w:color="auto"/>
                        <w:bottom w:val="none" w:sz="0" w:space="0" w:color="auto"/>
                        <w:right w:val="none" w:sz="0" w:space="0" w:color="auto"/>
                      </w:divBdr>
                    </w:div>
                  </w:divsChild>
                </w:div>
                <w:div w:id="1223373177">
                  <w:marLeft w:val="0"/>
                  <w:marRight w:val="0"/>
                  <w:marTop w:val="0"/>
                  <w:marBottom w:val="0"/>
                  <w:divBdr>
                    <w:top w:val="none" w:sz="0" w:space="0" w:color="auto"/>
                    <w:left w:val="none" w:sz="0" w:space="0" w:color="auto"/>
                    <w:bottom w:val="none" w:sz="0" w:space="0" w:color="auto"/>
                    <w:right w:val="none" w:sz="0" w:space="0" w:color="auto"/>
                  </w:divBdr>
                  <w:divsChild>
                    <w:div w:id="469133434">
                      <w:marLeft w:val="0"/>
                      <w:marRight w:val="0"/>
                      <w:marTop w:val="75"/>
                      <w:marBottom w:val="0"/>
                      <w:divBdr>
                        <w:top w:val="none" w:sz="0" w:space="0" w:color="auto"/>
                        <w:left w:val="none" w:sz="0" w:space="0" w:color="auto"/>
                        <w:bottom w:val="none" w:sz="0" w:space="0" w:color="auto"/>
                        <w:right w:val="none" w:sz="0" w:space="0" w:color="auto"/>
                      </w:divBdr>
                    </w:div>
                  </w:divsChild>
                </w:div>
                <w:div w:id="12801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sterra.com/guias-clinicas/demencia-tipo-alzheimer/" TargetMode="External"/><Relationship Id="rId18" Type="http://schemas.openxmlformats.org/officeDocument/2006/relationships/hyperlink" Target="http://www.fisterra.com/guias-clinicas/demencia-tipo-alzheimer/" TargetMode="External"/><Relationship Id="rId26" Type="http://schemas.openxmlformats.org/officeDocument/2006/relationships/hyperlink" Target="http://www.fisterra.com/guias-clinicas/demencia-tipo-alzheimer/" TargetMode="External"/><Relationship Id="rId39" Type="http://schemas.openxmlformats.org/officeDocument/2006/relationships/hyperlink" Target="http://www.nice.org.uk/cg42" TargetMode="External"/><Relationship Id="rId21" Type="http://schemas.openxmlformats.org/officeDocument/2006/relationships/hyperlink" Target="http://www.fisterra.com/guias-clinicas/demencia-tipo-alzheimer/" TargetMode="External"/><Relationship Id="rId34" Type="http://schemas.openxmlformats.org/officeDocument/2006/relationships/hyperlink" Target="http://www.ncbi.nlm.nih.gov/pubmed/17060346" TargetMode="External"/><Relationship Id="rId42" Type="http://schemas.openxmlformats.org/officeDocument/2006/relationships/hyperlink" Target="http://www.update-software.com/BCP/WileyPDF/EN/CD008191.pdf" TargetMode="External"/><Relationship Id="rId47" Type="http://schemas.openxmlformats.org/officeDocument/2006/relationships/hyperlink" Target="http://www.ncbi.nlm.nih.gov/pubmed/20445638" TargetMode="External"/><Relationship Id="rId50" Type="http://schemas.openxmlformats.org/officeDocument/2006/relationships/hyperlink" Target="http://guidelines.gov/content.aspx?id=34279" TargetMode="Externa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www.fisterra.com/guias-clinicas/demencia-tipo-alzheimer/" TargetMode="External"/><Relationship Id="rId29" Type="http://schemas.openxmlformats.org/officeDocument/2006/relationships/hyperlink" Target="http://www.fisterra.com/guias-clinicas/demencia-tipo-alzheimer/" TargetMode="External"/><Relationship Id="rId11" Type="http://schemas.openxmlformats.org/officeDocument/2006/relationships/hyperlink" Target="http://www.fisterra.com/guias-clinicas/demencia-tipo-alzheimer/" TargetMode="External"/><Relationship Id="rId24" Type="http://schemas.openxmlformats.org/officeDocument/2006/relationships/hyperlink" Target="http://www.fisterra.com/guias-clinicas/demencia-tipo-alzheimer/" TargetMode="External"/><Relationship Id="rId32" Type="http://schemas.openxmlformats.org/officeDocument/2006/relationships/hyperlink" Target="http://www.fisterra.com/herramientas/medicamentos/galantamina/" TargetMode="External"/><Relationship Id="rId37" Type="http://schemas.openxmlformats.org/officeDocument/2006/relationships/hyperlink" Target="http://www.guiasalud.es/GPC/GPC_484_Alzheimer_AIAQS_compl.pdf" TargetMode="External"/><Relationship Id="rId40" Type="http://schemas.openxmlformats.org/officeDocument/2006/relationships/hyperlink" Target="http://guidelines.gov/content.aspx?id=34279" TargetMode="External"/><Relationship Id="rId45" Type="http://schemas.openxmlformats.org/officeDocument/2006/relationships/hyperlink" Target="http://www.ncbi.nlm.nih.gov/pubmed/22336813" TargetMode="External"/><Relationship Id="rId53" Type="http://schemas.openxmlformats.org/officeDocument/2006/relationships/theme" Target="theme/theme1.xml"/><Relationship Id="rId5" Type="http://schemas.openxmlformats.org/officeDocument/2006/relationships/hyperlink" Target="http://www.fisterra.com/guias-clinicas/demencia-tipo-alzheimer/" TargetMode="External"/><Relationship Id="rId10" Type="http://schemas.openxmlformats.org/officeDocument/2006/relationships/image" Target="media/image2.gif"/><Relationship Id="rId19" Type="http://schemas.openxmlformats.org/officeDocument/2006/relationships/hyperlink" Target="http://www.fisterra.com/guias-clinicas/demencia-tipo-alzheimer/" TargetMode="External"/><Relationship Id="rId31" Type="http://schemas.openxmlformats.org/officeDocument/2006/relationships/hyperlink" Target="http://www.fisterra.com/herramientas/medicamentos/citalopram/" TargetMode="External"/><Relationship Id="rId44" Type="http://schemas.openxmlformats.org/officeDocument/2006/relationships/hyperlink" Target="http://www.ahrq.gov/downloads/pub/evidence/pdf/alzheimers/alzcog.pdf"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isterra.com/guias-clinicas/demencia-tipo-alzheimer/#algoritmos" TargetMode="External"/><Relationship Id="rId14" Type="http://schemas.openxmlformats.org/officeDocument/2006/relationships/hyperlink" Target="http://www.fisterra.com/guias-clinicas/demencia-tipo-alzheimer/" TargetMode="External"/><Relationship Id="rId22" Type="http://schemas.openxmlformats.org/officeDocument/2006/relationships/hyperlink" Target="http://www.fisterra.com/guias-clinicas/demencia-tipo-alzheimer/" TargetMode="External"/><Relationship Id="rId27" Type="http://schemas.openxmlformats.org/officeDocument/2006/relationships/image" Target="media/image3.png"/><Relationship Id="rId30" Type="http://schemas.openxmlformats.org/officeDocument/2006/relationships/hyperlink" Target="http://www.fisterra.com/herramientas/medicamentos/inhibidores-selectivos-recaptacionserotonina/" TargetMode="External"/><Relationship Id="rId35" Type="http://schemas.openxmlformats.org/officeDocument/2006/relationships/hyperlink" Target="http://www.ncbi.nlm.nih.gov/pubmed/17466645" TargetMode="External"/><Relationship Id="rId43" Type="http://schemas.openxmlformats.org/officeDocument/2006/relationships/hyperlink" Target="http://www.ncbi.nlm.nih.gov/pubmed/16620452" TargetMode="External"/><Relationship Id="rId48" Type="http://schemas.openxmlformats.org/officeDocument/2006/relationships/hyperlink" Target="http://www.guiasalud.es/GPC/GPC_484_Alzheimer_AIAQS_compl.pdf" TargetMode="External"/><Relationship Id="rId8" Type="http://schemas.openxmlformats.org/officeDocument/2006/relationships/hyperlink" Target="http://www.fisterra.com/guias-clinicas/demencia-tipo-alzheimer/" TargetMode="External"/><Relationship Id="rId51" Type="http://schemas.openxmlformats.org/officeDocument/2006/relationships/hyperlink" Target="http://www.sign.ac.uk/pdf/sign86.pdf" TargetMode="External"/><Relationship Id="rId3" Type="http://schemas.openxmlformats.org/officeDocument/2006/relationships/settings" Target="settings.xml"/><Relationship Id="rId12" Type="http://schemas.openxmlformats.org/officeDocument/2006/relationships/hyperlink" Target="http://www.fisterra.com/guias-clinicas/demencia-tipo-alzheimer/" TargetMode="External"/><Relationship Id="rId17" Type="http://schemas.openxmlformats.org/officeDocument/2006/relationships/hyperlink" Target="http://www.fisterra.com/guias-clinicas/demencia-tipo-alzheimer/" TargetMode="External"/><Relationship Id="rId25" Type="http://schemas.openxmlformats.org/officeDocument/2006/relationships/hyperlink" Target="http://www.fisterra.com/guias-clinicas/demencia-tipo-alzheimer/" TargetMode="External"/><Relationship Id="rId33" Type="http://schemas.openxmlformats.org/officeDocument/2006/relationships/hyperlink" Target="http://www.fisterra.com/guias-clinicas/demencia-tipo-alzheimer/" TargetMode="External"/><Relationship Id="rId38" Type="http://schemas.openxmlformats.org/officeDocument/2006/relationships/hyperlink" Target="http://www.bibliotecacochrane.org/BCPGetDocument.asp?SessionID=%206049123&amp;DocumentID=CD001747" TargetMode="External"/><Relationship Id="rId46" Type="http://schemas.openxmlformats.org/officeDocument/2006/relationships/hyperlink" Target="http://www.fisterra.com/guias-clinicas/demencia-tipo-alzheimer/" TargetMode="External"/><Relationship Id="rId20" Type="http://schemas.openxmlformats.org/officeDocument/2006/relationships/hyperlink" Target="http://www.fisterra.com/guias-clinicas/demencia-tipo-alzheimer/" TargetMode="External"/><Relationship Id="rId41" Type="http://schemas.openxmlformats.org/officeDocument/2006/relationships/hyperlink" Target="http://www.sign.ac.uk/pdf/sign86.pdf" TargetMode="External"/><Relationship Id="rId1" Type="http://schemas.openxmlformats.org/officeDocument/2006/relationships/numbering" Target="numbering.xml"/><Relationship Id="rId6" Type="http://schemas.openxmlformats.org/officeDocument/2006/relationships/hyperlink" Target="http://www.fisterra.com/guias-clinicas/demencia-tipo-alzheimer/#guia" TargetMode="External"/><Relationship Id="rId15" Type="http://schemas.openxmlformats.org/officeDocument/2006/relationships/hyperlink" Target="http://www.fisterra.com/guias-clinicas/demencia-tipo-alzheimer/" TargetMode="External"/><Relationship Id="rId23" Type="http://schemas.openxmlformats.org/officeDocument/2006/relationships/hyperlink" Target="http://www.fisterra.com/guias-clinicas/demencia-tipo-alzheimer/" TargetMode="External"/><Relationship Id="rId28" Type="http://schemas.openxmlformats.org/officeDocument/2006/relationships/hyperlink" Target="http://www.fisterra.com/guias-clinicas/demencia-tipo-alzheimer/" TargetMode="External"/><Relationship Id="rId36" Type="http://schemas.openxmlformats.org/officeDocument/2006/relationships/hyperlink" Target="http://www.ncbi.nlm.nih.gov/pubmed/1202204" TargetMode="External"/><Relationship Id="rId49" Type="http://schemas.openxmlformats.org/officeDocument/2006/relationships/hyperlink" Target="http://www.ncbi.nlm.nih.gov/pubmed/2018926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3759</Words>
  <Characters>20679</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Daiana Actis</dc:creator>
  <cp:keywords/>
  <dc:description/>
  <cp:lastModifiedBy>USUARIO</cp:lastModifiedBy>
  <cp:revision>3</cp:revision>
  <dcterms:created xsi:type="dcterms:W3CDTF">2017-06-09T11:52:00Z</dcterms:created>
  <dcterms:modified xsi:type="dcterms:W3CDTF">2019-07-16T17:41:00Z</dcterms:modified>
</cp:coreProperties>
</file>